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lang w:eastAsia="zh-CN"/>
        </w:rPr>
      </w:pPr>
      <w:r>
        <w:rPr>
          <w:rFonts w:hint="eastAsia" w:ascii="黑体" w:hAnsi="ˎ̥" w:eastAsia="黑体"/>
          <w:color w:val="000000"/>
          <w:sz w:val="44"/>
          <w:szCs w:val="44"/>
          <w:highlight w:val="none"/>
        </w:rPr>
        <w:t>海南省</w:t>
      </w:r>
      <w:r>
        <w:rPr>
          <w:rFonts w:hint="eastAsia" w:ascii="黑体" w:hAnsi="ˎ̥" w:eastAsia="黑体"/>
          <w:color w:val="000000"/>
          <w:sz w:val="44"/>
          <w:szCs w:val="44"/>
          <w:highlight w:val="none"/>
          <w:lang w:eastAsia="zh-CN"/>
        </w:rPr>
        <w:t>三亚市城郊人民法院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rPr>
        <w:t>2022年度部门决算公开</w:t>
      </w:r>
      <w:r>
        <w:rPr>
          <w:rFonts w:ascii="黑体" w:hAnsi="ˎ̥" w:eastAsia="黑体"/>
          <w:color w:val="000000"/>
          <w:sz w:val="44"/>
          <w:szCs w:val="44"/>
          <w:highlight w:val="none"/>
        </w:rPr>
        <w:t>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4</w:t>
      </w:r>
      <w:r>
        <w:rPr>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p>
    <w:p>
      <w:pPr>
        <w:pStyle w:val="9"/>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p>
    <w:p>
      <w:pPr>
        <w:pStyle w:val="9"/>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10</w:t>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27</w:t>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bookmarkEnd w:id="0"/>
      <w:r>
        <w:rPr>
          <w:rFonts w:hint="eastAsia"/>
          <w:color w:val="000000"/>
          <w:sz w:val="32"/>
          <w:szCs w:val="32"/>
          <w:highlight w:val="none"/>
          <w:lang w:val="en-US" w:eastAsia="zh-CN"/>
        </w:rPr>
        <w:t>8</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ˎ̥" w:eastAsia="黑体"/>
          <w:color w:val="000000"/>
          <w:sz w:val="32"/>
          <w:szCs w:val="32"/>
          <w:highlight w:val="none"/>
        </w:rPr>
      </w:pPr>
      <w:bookmarkStart w:id="1" w:name="_Toc1704_WPSOffice_Level1"/>
      <w:bookmarkStart w:id="2" w:name="_Toc10720_WPSOffice_Level1"/>
      <w:bookmarkStart w:id="3" w:name="_Toc10049_WPSOffice_Level1"/>
      <w:bookmarkStart w:id="4" w:name="_Toc32433_WPSOffice_Level1"/>
      <w:bookmarkStart w:id="5" w:name="_Toc22941_WPSOffice_Level1"/>
      <w:bookmarkStart w:id="6" w:name="_Toc23465_WPSOffice_Level1"/>
      <w:bookmarkStart w:id="7" w:name="_Toc24238_WPSOffice_Level2"/>
      <w:bookmarkStart w:id="8" w:name="_Toc32622_WPSOffice_Level2"/>
      <w:bookmarkStart w:id="9" w:name="_Toc26580_WPSOffice_Level2"/>
      <w:bookmarkStart w:id="10" w:name="_Toc14159_WPSOffice_Level2"/>
      <w:bookmarkStart w:id="11" w:name="_Toc20205_WPSOffice_Level2"/>
      <w:bookmarkStart w:id="12" w:name="_Toc20274_WPSOffice_Level2"/>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1"/>
      <w:bookmarkEnd w:id="2"/>
      <w:bookmarkEnd w:id="3"/>
      <w:bookmarkEnd w:id="4"/>
      <w:bookmarkEnd w:id="5"/>
      <w:bookmarkEnd w:id="6"/>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部门</w:t>
      </w:r>
      <w:bookmarkEnd w:id="7"/>
      <w:r>
        <w:rPr>
          <w:rFonts w:hint="eastAsia" w:ascii="黑体" w:hAnsi="黑体" w:eastAsia="黑体" w:cs="黑体"/>
          <w:color w:val="000000"/>
          <w:sz w:val="32"/>
          <w:szCs w:val="32"/>
          <w:highlight w:val="none"/>
        </w:rPr>
        <w:t>（单位）职责</w:t>
      </w:r>
      <w:bookmarkEnd w:id="8"/>
      <w:bookmarkEnd w:id="9"/>
      <w:bookmarkEnd w:id="10"/>
      <w:bookmarkEnd w:id="11"/>
      <w:bookmarkEnd w:id="12"/>
    </w:p>
    <w:p>
      <w:pPr>
        <w:ind w:firstLine="640" w:firstLineChars="200"/>
        <w:rPr>
          <w:rFonts w:hint="eastAsia" w:ascii="仿宋_GB2312" w:hAnsi="ˎ̥" w:eastAsia="仿宋_GB2312"/>
          <w:sz w:val="32"/>
          <w:szCs w:val="32"/>
        </w:rPr>
      </w:pPr>
      <w:r>
        <w:rPr>
          <w:rFonts w:hint="eastAsia" w:ascii="仿宋_GB2312" w:hAnsi="ˎ̥" w:eastAsia="仿宋_GB2312"/>
          <w:sz w:val="32"/>
          <w:szCs w:val="32"/>
        </w:rPr>
        <w:t>（一）依法审判法律规定由基层人民法院管辖的第一审案件。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（二）依法审判三亚市中级人民法院交办或指令的刑事、民事、行政等案件。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（三）审理不服本院发生法律效力的判决、裁定的各类申诉和申请再审案件，对其中确有错误的判决、裁定进行再审。</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（四）执行本院已发生法律效力的判决、裁定，执行国家行政机关依法申请执行又属于本院执行的案件和外省、市同级法院委托执行的案件。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（五）领导、管理和指导本院基层人民法庭的审判工作。</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（六）负责本院调查研究工作，对审判工作中的法律政策及疑难问题，提出解决问题的办法和意见。</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（七）对地方性法规、政府规章等草案提出意见;针对案件审理中发现的问题提出司法建议。</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（八）负责本级法院的思想政治、教育培训工作;按照权限管理法官、执行员、书记员、司法警察及司法行政人员。</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（九）负责本院的司法行政工作，依照职权管理本院的有关经费和物资装备。</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（十）结合业务工作，开展法制宣传，教育公民忠于社会主义祖国、自觉遵守宪法、法律和社会公德。</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（十一）负责本院的纪检监察工作。</w:t>
      </w:r>
    </w:p>
    <w:p>
      <w:pPr>
        <w:ind w:firstLine="640" w:firstLineChars="200"/>
        <w:rPr>
          <w:rFonts w:hint="eastAsia" w:ascii="黑体" w:hAnsi="黑体" w:eastAsia="黑体" w:cs="黑体"/>
          <w:color w:val="000000"/>
          <w:sz w:val="32"/>
          <w:szCs w:val="32"/>
          <w:highlight w:val="none"/>
        </w:rPr>
      </w:pPr>
      <w:r>
        <w:rPr>
          <w:rFonts w:hint="eastAsia" w:ascii="仿宋_GB2312" w:hAnsi="ˎ̥" w:eastAsia="仿宋_GB2312"/>
          <w:sz w:val="32"/>
          <w:szCs w:val="32"/>
        </w:rPr>
        <w:t>（十二）承办市委、市人大和上级人民法院交办的其它工作。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bookmarkStart w:id="13" w:name="_Toc24059_WPSOffice_Level2"/>
      <w:bookmarkStart w:id="14" w:name="_Toc6572_WPSOffice_Level2"/>
      <w:bookmarkStart w:id="15" w:name="_Toc4833_WPSOffice_Level2"/>
      <w:bookmarkStart w:id="16" w:name="_Toc24474_WPSOffice_Level2"/>
      <w:bookmarkStart w:id="17" w:name="_Toc17796_WPSOffice_Level2"/>
      <w:r>
        <w:rPr>
          <w:rFonts w:hint="eastAsia" w:ascii="黑体" w:hAnsi="黑体" w:eastAsia="黑体" w:cs="黑体"/>
          <w:color w:val="000000"/>
          <w:sz w:val="32"/>
          <w:szCs w:val="32"/>
          <w:highlight w:val="none"/>
        </w:rPr>
        <w:t>二、机构设置</w:t>
      </w:r>
      <w:bookmarkEnd w:id="13"/>
      <w:bookmarkEnd w:id="14"/>
      <w:bookmarkEnd w:id="15"/>
      <w:bookmarkEnd w:id="16"/>
      <w:bookmarkEnd w:id="17"/>
    </w:p>
    <w:p>
      <w:pPr>
        <w:ind w:firstLine="640" w:firstLineChars="200"/>
      </w:pPr>
      <w:bookmarkStart w:id="18" w:name="_Toc15521_WPSOffice_Level1"/>
      <w:bookmarkStart w:id="19" w:name="_Toc30451_WPSOffice_Level1"/>
      <w:bookmarkStart w:id="20" w:name="_Toc28253_WPSOffice_Level1"/>
      <w:bookmarkStart w:id="21" w:name="_Toc30690_WPSOffice_Level1"/>
      <w:bookmarkStart w:id="22" w:name="_Toc6234_WPSOffice_Level1"/>
      <w:bookmarkStart w:id="23" w:name="_Toc8164_WPSOffice_Level1"/>
      <w:bookmarkStart w:id="24" w:name="_Toc32695_WPSOffice_Level2"/>
      <w:bookmarkStart w:id="25" w:name="_Toc32472_WPSOffice_Level2"/>
      <w:bookmarkStart w:id="26" w:name="_Toc11518_WPSOffice_Level2"/>
      <w:bookmarkStart w:id="27" w:name="_Toc8867_WPSOffice_Level2"/>
      <w:bookmarkStart w:id="28" w:name="_Toc6211_WPSOffice_Level2"/>
      <w:bookmarkStart w:id="29" w:name="_Toc4029_WPSOffice_Level2"/>
      <w:r>
        <w:rPr>
          <w:rFonts w:hint="eastAsia" w:ascii="仿宋_GB2312" w:hAnsi="ˎ̥" w:eastAsia="仿宋_GB2312"/>
          <w:sz w:val="32"/>
          <w:szCs w:val="32"/>
        </w:rPr>
        <w:t>纳入三亚市城郊人民法院部门</w:t>
      </w:r>
      <w:r>
        <w:rPr>
          <w:rFonts w:hint="eastAsia" w:ascii="仿宋_GB2312" w:hAnsi="ˎ̥" w:eastAsia="仿宋_GB2312"/>
          <w:sz w:val="32"/>
          <w:szCs w:val="32"/>
          <w:lang w:eastAsia="zh-CN"/>
        </w:rPr>
        <w:t>2022年</w:t>
      </w:r>
      <w:r>
        <w:rPr>
          <w:rFonts w:hint="eastAsia" w:ascii="仿宋_GB2312" w:hAnsi="ˎ̥" w:eastAsia="仿宋_GB2312"/>
          <w:sz w:val="32"/>
          <w:szCs w:val="32"/>
        </w:rPr>
        <w:t>度部门决算编制范围的的只有部门本级1家预算单位：内设有办公室、政治部、机关党委、立案庭、刑事审判庭、民事审判庭、行政审判庭、执行局、旅游审判庭、审判管理办公室、吉阳人民法庭、天涯人民法庭、崖城人民法庭、海棠湾人民法庭和司法警察大队15个部门。</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4"/>
      <w:bookmarkEnd w:id="25"/>
      <w:bookmarkEnd w:id="26"/>
      <w:bookmarkEnd w:id="27"/>
      <w:bookmarkEnd w:id="28"/>
      <w:bookmarkEnd w:id="29"/>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0" w:name="_Toc30334_WPSOffice_Level2"/>
      <w:bookmarkStart w:id="31" w:name="_Toc26621_WPSOffice_Level2"/>
      <w:bookmarkStart w:id="32" w:name="_Toc14349_WPSOffice_Level2"/>
      <w:bookmarkStart w:id="33" w:name="_Toc28622_WPSOffice_Level2"/>
      <w:bookmarkStart w:id="34" w:name="_Toc25608_WPSOffice_Level2"/>
      <w:bookmarkStart w:id="35" w:name="_Toc23139_WPSOffice_Level2"/>
      <w:r>
        <w:rPr>
          <w:rFonts w:hint="eastAsia" w:ascii="黑体" w:hAnsi="黑体" w:eastAsia="黑体" w:cs="黑体"/>
          <w:color w:val="000000"/>
          <w:sz w:val="32"/>
          <w:szCs w:val="32"/>
          <w:highlight w:val="none"/>
        </w:rPr>
        <w:t>二、收入决算公开表</w:t>
      </w:r>
      <w:bookmarkEnd w:id="30"/>
      <w:bookmarkEnd w:id="31"/>
      <w:bookmarkEnd w:id="32"/>
      <w:bookmarkEnd w:id="33"/>
      <w:bookmarkEnd w:id="34"/>
      <w:bookmarkEnd w:id="35"/>
      <w:bookmarkStart w:id="36" w:name="_Toc3262_WPSOffice_Level2"/>
      <w:bookmarkStart w:id="37" w:name="_Toc17626_WPSOffice_Level2"/>
      <w:bookmarkStart w:id="38" w:name="_Toc14658_WPSOffice_Level2"/>
      <w:bookmarkStart w:id="39" w:name="_Toc5489_WPSOffice_Level2"/>
      <w:bookmarkStart w:id="40" w:name="_Toc17858_WPSOffice_Level2"/>
      <w:bookmarkStart w:id="41" w:name="_Toc13854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6"/>
      <w:bookmarkEnd w:id="37"/>
      <w:bookmarkEnd w:id="38"/>
      <w:bookmarkEnd w:id="39"/>
      <w:bookmarkEnd w:id="40"/>
      <w:bookmarkEnd w:id="41"/>
      <w:bookmarkStart w:id="42" w:name="_Toc13701_WPSOffice_Level2"/>
      <w:bookmarkStart w:id="43" w:name="_Toc23591_WPSOffice_Level2"/>
      <w:bookmarkStart w:id="44" w:name="_Toc21415_WPSOffice_Level2"/>
      <w:bookmarkStart w:id="45" w:name="_Toc7988_WPSOffice_Level2"/>
      <w:bookmarkStart w:id="46" w:name="_Toc4265_WPSOffice_Level2"/>
      <w:bookmarkStart w:id="47" w:name="_Toc2349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2"/>
      <w:bookmarkEnd w:id="43"/>
      <w:bookmarkEnd w:id="44"/>
      <w:bookmarkEnd w:id="45"/>
      <w:bookmarkEnd w:id="46"/>
      <w:bookmarkEnd w:id="47"/>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8" w:name="_Toc7879_WPSOffice_Level2"/>
      <w:bookmarkStart w:id="49" w:name="_Toc22783_WPSOffice_Level2"/>
      <w:bookmarkStart w:id="50" w:name="_Toc23829_WPSOffice_Level2"/>
      <w:bookmarkStart w:id="51" w:name="_Toc25166_WPSOffice_Level2"/>
      <w:bookmarkStart w:id="52" w:name="_Toc13516_WPSOffice_Level2"/>
      <w:bookmarkStart w:id="53" w:name="_Toc2158_WPSOffice_Level2"/>
      <w:r>
        <w:rPr>
          <w:rFonts w:hint="eastAsia" w:ascii="黑体" w:hAnsi="黑体" w:eastAsia="黑体" w:cs="黑体"/>
          <w:color w:val="000000"/>
          <w:sz w:val="32"/>
          <w:szCs w:val="32"/>
          <w:highlight w:val="none"/>
        </w:rPr>
        <w:t>五、一般公共预算财政拨款收入支出决算</w:t>
      </w:r>
      <w:bookmarkEnd w:id="48"/>
      <w:bookmarkEnd w:id="49"/>
      <w:bookmarkEnd w:id="50"/>
      <w:bookmarkEnd w:id="51"/>
      <w:r>
        <w:rPr>
          <w:rFonts w:hint="eastAsia" w:ascii="黑体" w:hAnsi="黑体" w:eastAsia="黑体" w:cs="黑体"/>
          <w:color w:val="000000"/>
          <w:sz w:val="32"/>
          <w:szCs w:val="32"/>
          <w:highlight w:val="none"/>
        </w:rPr>
        <w:t>公开表</w:t>
      </w:r>
      <w:bookmarkEnd w:id="52"/>
      <w:bookmarkEnd w:id="53"/>
      <w:bookmarkStart w:id="54" w:name="_Toc8373_WPSOffice_Level2"/>
      <w:bookmarkStart w:id="55" w:name="_Toc2632_WPSOffice_Level2"/>
      <w:bookmarkStart w:id="56" w:name="_Toc17283_WPSOffice_Level2"/>
      <w:bookmarkStart w:id="57" w:name="_Toc17833_WPSOffice_Level2"/>
      <w:bookmarkStart w:id="58" w:name="_Toc5343_WPSOffice_Level2"/>
      <w:bookmarkStart w:id="59" w:name="_Toc25362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4"/>
      <w:bookmarkEnd w:id="55"/>
      <w:bookmarkEnd w:id="56"/>
      <w:bookmarkEnd w:id="57"/>
      <w:bookmarkEnd w:id="58"/>
      <w:bookmarkEnd w:id="59"/>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0" w:name="_Toc21310_WPSOffice_Level2"/>
      <w:bookmarkStart w:id="61" w:name="_Toc1533_WPSOffice_Level2"/>
      <w:bookmarkStart w:id="62" w:name="_Toc5594_WPSOffice_Level2"/>
      <w:bookmarkStart w:id="63" w:name="_Toc13345_WPSOffice_Level2"/>
      <w:bookmarkStart w:id="64" w:name="_Toc6020_WPSOffice_Level2"/>
      <w:bookmarkStart w:id="65" w:name="_Toc11799_WPSOffice_Level2"/>
      <w:r>
        <w:rPr>
          <w:rFonts w:hint="eastAsia" w:ascii="黑体" w:hAnsi="黑体" w:eastAsia="黑体" w:cs="黑体"/>
          <w:color w:val="000000"/>
          <w:sz w:val="32"/>
          <w:szCs w:val="32"/>
          <w:highlight w:val="none"/>
        </w:rPr>
        <w:t>七、政府性基金预算财政拨款收入支出决算</w:t>
      </w:r>
      <w:bookmarkEnd w:id="60"/>
      <w:bookmarkEnd w:id="61"/>
      <w:bookmarkEnd w:id="62"/>
      <w:bookmarkEnd w:id="63"/>
      <w:bookmarkEnd w:id="64"/>
      <w:bookmarkEnd w:id="65"/>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6" w:name="_Toc29886_WPSOffice_Level2"/>
      <w:bookmarkStart w:id="67" w:name="_Toc9377_WPSOffice_Level2"/>
      <w:bookmarkStart w:id="68" w:name="_Toc19961_WPSOffice_Level2"/>
      <w:bookmarkStart w:id="69" w:name="_Toc1820_WPSOffice_Level2"/>
      <w:r>
        <w:rPr>
          <w:rFonts w:hint="eastAsia" w:ascii="黑体" w:hAnsi="黑体" w:eastAsia="黑体" w:cs="黑体"/>
          <w:color w:val="000000"/>
          <w:sz w:val="32"/>
          <w:szCs w:val="32"/>
          <w:highlight w:val="none"/>
        </w:rPr>
        <w:t>九、财政拨款“三公”经费支出决算</w:t>
      </w:r>
      <w:bookmarkEnd w:id="66"/>
      <w:bookmarkEnd w:id="67"/>
      <w:bookmarkEnd w:id="68"/>
      <w:bookmarkEnd w:id="69"/>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0" w:name="_Toc4402_WPSOffice_Level1"/>
      <w:bookmarkStart w:id="71" w:name="_Toc16686_WPSOffice_Level1"/>
      <w:bookmarkStart w:id="72" w:name="_Toc28629_WPSOffice_Level1"/>
      <w:bookmarkStart w:id="73" w:name="_Toc27590_WPSOffice_Level1"/>
      <w:bookmarkStart w:id="74" w:name="_Toc29683_WPSOffice_Level1"/>
      <w:bookmarkStart w:id="75" w:name="_Toc31264_WPSOffice_Level1"/>
      <w:r>
        <w:rPr>
          <w:rFonts w:hint="eastAsia" w:ascii="黑体" w:hAnsi="ˎ̥" w:eastAsia="黑体"/>
          <w:color w:val="000000"/>
          <w:sz w:val="32"/>
          <w:szCs w:val="32"/>
          <w:highlight w:val="none"/>
        </w:rPr>
        <w:t>第三部分  2022年度部门决算情况说明</w:t>
      </w:r>
      <w:bookmarkEnd w:id="70"/>
      <w:bookmarkEnd w:id="71"/>
      <w:bookmarkEnd w:id="72"/>
      <w:bookmarkEnd w:id="73"/>
      <w:bookmarkEnd w:id="74"/>
      <w:bookmarkEnd w:id="75"/>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ind w:firstLine="640" w:firstLineChars="200"/>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楷体_GB2312" w:hAnsi="ˎ̥" w:eastAsia="楷体_GB2312"/>
          <w:sz w:val="32"/>
          <w:szCs w:val="32"/>
        </w:rPr>
        <w:t xml:space="preserve"> </w:t>
      </w:r>
      <w:r>
        <w:rPr>
          <w:rFonts w:hint="eastAsia" w:ascii="仿宋_GB2312" w:hAnsi="ˎ̥" w:eastAsia="仿宋_GB2312"/>
          <w:sz w:val="32"/>
          <w:szCs w:val="32"/>
          <w:lang w:eastAsia="zh-CN"/>
        </w:rPr>
        <w:t>2022年</w:t>
      </w:r>
      <w:r>
        <w:rPr>
          <w:rFonts w:hint="eastAsia" w:ascii="仿宋_GB2312" w:hAnsi="ˎ̥" w:eastAsia="仿宋_GB2312"/>
          <w:sz w:val="32"/>
          <w:szCs w:val="32"/>
        </w:rPr>
        <w:t>度收入总计</w:t>
      </w:r>
      <w:r>
        <w:rPr>
          <w:rFonts w:hint="eastAsia" w:ascii="仿宋_GB2312" w:hAnsi="ˎ̥" w:eastAsia="仿宋_GB2312"/>
          <w:sz w:val="32"/>
          <w:szCs w:val="32"/>
          <w:lang w:val="en-US" w:eastAsia="zh-CN"/>
        </w:rPr>
        <w:t>11099.44</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11099.44</w:t>
      </w:r>
      <w:r>
        <w:rPr>
          <w:rFonts w:hint="eastAsia" w:ascii="仿宋_GB2312" w:hAnsi="ˎ̥" w:eastAsia="仿宋_GB2312"/>
          <w:sz w:val="32"/>
          <w:szCs w:val="32"/>
        </w:rPr>
        <w:t>万元，与</w:t>
      </w:r>
      <w:r>
        <w:rPr>
          <w:rFonts w:hint="eastAsia" w:ascii="仿宋_GB2312" w:hAnsi="ˎ̥" w:eastAsia="仿宋_GB2312"/>
          <w:sz w:val="32"/>
          <w:szCs w:val="32"/>
          <w:lang w:eastAsia="zh-CN"/>
        </w:rPr>
        <w:t>2021年</w:t>
      </w:r>
      <w:r>
        <w:rPr>
          <w:rFonts w:hint="eastAsia" w:ascii="仿宋_GB2312" w:hAnsi="ˎ̥" w:eastAsia="仿宋_GB2312"/>
          <w:sz w:val="32"/>
          <w:szCs w:val="32"/>
        </w:rPr>
        <w:t>度相比，收入、支出总计各减少</w:t>
      </w:r>
      <w:r>
        <w:rPr>
          <w:rFonts w:hint="eastAsia" w:ascii="仿宋_GB2312" w:hAnsi="ˎ̥" w:eastAsia="仿宋_GB2312"/>
          <w:sz w:val="32"/>
          <w:szCs w:val="32"/>
          <w:lang w:val="en-US" w:eastAsia="zh-CN"/>
        </w:rPr>
        <w:t>174.82</w:t>
      </w:r>
      <w:r>
        <w:rPr>
          <w:rFonts w:hint="eastAsia" w:ascii="仿宋_GB2312" w:hAnsi="ˎ̥" w:eastAsia="仿宋_GB2312"/>
          <w:sz w:val="32"/>
          <w:szCs w:val="32"/>
        </w:rPr>
        <w:t>万元，下降</w:t>
      </w:r>
      <w:r>
        <w:rPr>
          <w:rFonts w:hint="eastAsia" w:ascii="仿宋_GB2312" w:hAnsi="ˎ̥" w:eastAsia="仿宋_GB2312"/>
          <w:sz w:val="32"/>
          <w:szCs w:val="32"/>
          <w:lang w:val="en-US" w:eastAsia="zh-CN"/>
        </w:rPr>
        <w:t>1.55</w:t>
      </w:r>
      <w:r>
        <w:rPr>
          <w:rFonts w:hint="eastAsia" w:ascii="仿宋_GB2312" w:hAnsi="ˎ̥" w:eastAsia="仿宋_GB2312"/>
          <w:sz w:val="32"/>
          <w:szCs w:val="32"/>
        </w:rPr>
        <w:t>%。主要原因：</w:t>
      </w:r>
      <w:r>
        <w:rPr>
          <w:rFonts w:hint="eastAsia" w:ascii="仿宋_GB2312" w:hAnsi="ˎ̥" w:eastAsia="仿宋_GB2312"/>
          <w:sz w:val="32"/>
          <w:szCs w:val="32"/>
          <w:lang w:eastAsia="zh-CN"/>
        </w:rPr>
        <w:t>一</w:t>
      </w:r>
      <w:r>
        <w:rPr>
          <w:rFonts w:hint="eastAsia" w:ascii="仿宋_GB2312" w:hAnsi="ˎ̥" w:eastAsia="仿宋_GB2312"/>
          <w:sz w:val="32"/>
          <w:szCs w:val="32"/>
        </w:rPr>
        <w:t>是无相关一次性支出任务，以及贯彻厉行节约政策，按照当年情况，减少不必要的支出</w:t>
      </w:r>
      <w:r>
        <w:rPr>
          <w:rFonts w:hint="eastAsia" w:ascii="仿宋_GB2312" w:hAnsi="ˎ̥" w:eastAsia="仿宋_GB2312"/>
          <w:sz w:val="32"/>
          <w:szCs w:val="32"/>
          <w:lang w:eastAsia="zh-CN"/>
        </w:rPr>
        <w:t>；二是受疫情影响，差旅、加班等日常经费有所减少。</w:t>
      </w:r>
      <w:r>
        <w:rPr>
          <w:rFonts w:hint="eastAsia" w:ascii="仿宋_GB2312" w:hAnsi="ˎ̥" w:eastAsia="仿宋_GB2312"/>
          <w:sz w:val="32"/>
          <w:szCs w:val="32"/>
        </w:rPr>
        <w:t>使用非财政拨款结余0万元，</w:t>
      </w:r>
      <w:r>
        <w:rPr>
          <w:rFonts w:hint="eastAsia" w:ascii="仿宋_GB2312" w:hAnsi="ˎ̥" w:eastAsia="仿宋_GB2312"/>
          <w:sz w:val="32"/>
          <w:szCs w:val="32"/>
          <w:lang w:eastAsia="zh-CN"/>
        </w:rPr>
        <w:t>与2021年</w:t>
      </w:r>
      <w:r>
        <w:rPr>
          <w:rFonts w:hint="eastAsia" w:ascii="仿宋_GB2312" w:hAnsi="ˎ̥" w:eastAsia="仿宋_GB2312"/>
          <w:sz w:val="32"/>
          <w:szCs w:val="32"/>
        </w:rPr>
        <w:t>度决算数持平。年初结转结余</w:t>
      </w:r>
      <w:r>
        <w:rPr>
          <w:rFonts w:hint="eastAsia" w:ascii="仿宋_GB2312" w:hAnsi="ˎ̥" w:eastAsia="仿宋_GB2312"/>
          <w:sz w:val="32"/>
          <w:szCs w:val="32"/>
          <w:lang w:val="en-US" w:eastAsia="zh-CN"/>
        </w:rPr>
        <w:t>3614.51</w:t>
      </w:r>
      <w:r>
        <w:rPr>
          <w:rFonts w:hint="eastAsia" w:ascii="仿宋_GB2312" w:hAnsi="ˎ̥" w:eastAsia="仿宋_GB2312"/>
          <w:sz w:val="32"/>
          <w:szCs w:val="32"/>
        </w:rPr>
        <w:t>万元，主要是办案经费等财政拨款结转，较</w:t>
      </w:r>
      <w:r>
        <w:rPr>
          <w:rFonts w:hint="eastAsia" w:ascii="仿宋_GB2312" w:hAnsi="ˎ̥" w:eastAsia="仿宋_GB2312"/>
          <w:sz w:val="32"/>
          <w:szCs w:val="32"/>
          <w:lang w:eastAsia="zh-CN"/>
        </w:rPr>
        <w:t>2021年</w:t>
      </w:r>
      <w:r>
        <w:rPr>
          <w:rFonts w:hint="eastAsia" w:ascii="仿宋_GB2312" w:hAnsi="ˎ̥" w:eastAsia="仿宋_GB2312"/>
          <w:sz w:val="32"/>
          <w:szCs w:val="32"/>
        </w:rPr>
        <w:t>度决算数</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77.29</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2.19</w:t>
      </w:r>
      <w:r>
        <w:rPr>
          <w:rFonts w:hint="eastAsia" w:ascii="仿宋_GB2312" w:hAnsi="ˎ̥" w:eastAsia="仿宋_GB2312"/>
          <w:sz w:val="32"/>
          <w:szCs w:val="32"/>
        </w:rPr>
        <w:t>%，主要原因是</w:t>
      </w:r>
      <w:r>
        <w:rPr>
          <w:rFonts w:hint="eastAsia" w:ascii="仿宋_GB2312" w:hAnsi="ˎ̥" w:eastAsia="仿宋_GB2312"/>
          <w:sz w:val="32"/>
          <w:szCs w:val="32"/>
          <w:lang w:eastAsia="zh-CN"/>
        </w:rPr>
        <w:t>受疫情影响，相关结转剩余多一些</w:t>
      </w:r>
      <w:r>
        <w:rPr>
          <w:rFonts w:hint="eastAsia" w:ascii="仿宋_GB2312" w:hAnsi="ˎ̥" w:eastAsia="仿宋_GB2312"/>
          <w:sz w:val="32"/>
          <w:szCs w:val="32"/>
        </w:rPr>
        <w:t>。年末结转结余</w:t>
      </w:r>
      <w:r>
        <w:rPr>
          <w:rFonts w:hint="eastAsia" w:ascii="仿宋_GB2312" w:hAnsi="ˎ̥" w:eastAsia="仿宋_GB2312"/>
          <w:sz w:val="32"/>
          <w:szCs w:val="32"/>
          <w:lang w:val="en-US" w:eastAsia="zh-CN"/>
        </w:rPr>
        <w:t>3799.59</w:t>
      </w:r>
      <w:r>
        <w:rPr>
          <w:rFonts w:hint="eastAsia" w:ascii="仿宋_GB2312" w:hAnsi="ˎ̥" w:eastAsia="仿宋_GB2312"/>
          <w:sz w:val="32"/>
          <w:szCs w:val="32"/>
        </w:rPr>
        <w:t>万元，主要是办案经费等相关经费，较</w:t>
      </w:r>
      <w:r>
        <w:rPr>
          <w:rFonts w:hint="eastAsia" w:ascii="仿宋_GB2312" w:hAnsi="ˎ̥" w:eastAsia="仿宋_GB2312"/>
          <w:sz w:val="32"/>
          <w:szCs w:val="32"/>
          <w:lang w:eastAsia="zh-CN"/>
        </w:rPr>
        <w:t>2021年</w:t>
      </w:r>
      <w:r>
        <w:rPr>
          <w:rFonts w:hint="eastAsia" w:ascii="仿宋_GB2312" w:hAnsi="ˎ̥" w:eastAsia="仿宋_GB2312"/>
          <w:sz w:val="32"/>
          <w:szCs w:val="32"/>
        </w:rPr>
        <w:t>度决算数增加</w:t>
      </w:r>
      <w:r>
        <w:rPr>
          <w:rFonts w:hint="eastAsia" w:ascii="仿宋_GB2312" w:hAnsi="ˎ̥" w:eastAsia="仿宋_GB2312"/>
          <w:sz w:val="32"/>
          <w:szCs w:val="32"/>
          <w:lang w:val="en-US" w:eastAsia="zh-CN"/>
        </w:rPr>
        <w:t>185.08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5.12</w:t>
      </w:r>
      <w:r>
        <w:rPr>
          <w:rFonts w:hint="eastAsia" w:ascii="仿宋_GB2312" w:hAnsi="ˎ̥" w:eastAsia="仿宋_GB2312"/>
          <w:sz w:val="32"/>
          <w:szCs w:val="32"/>
        </w:rPr>
        <w:t>%，主要原因是贯彻厉行节约政策，按照当年情况，减少不必要的支出，</w:t>
      </w:r>
      <w:r>
        <w:rPr>
          <w:rFonts w:hint="eastAsia" w:ascii="仿宋_GB2312" w:hAnsi="ˎ̥" w:eastAsia="仿宋_GB2312"/>
          <w:sz w:val="32"/>
          <w:szCs w:val="32"/>
          <w:lang w:eastAsia="zh-CN"/>
        </w:rPr>
        <w:t>且受疫情影响，</w:t>
      </w:r>
      <w:r>
        <w:rPr>
          <w:rFonts w:hint="eastAsia" w:ascii="仿宋_GB2312" w:hAnsi="ˎ̥" w:eastAsia="仿宋_GB2312"/>
          <w:sz w:val="32"/>
          <w:szCs w:val="32"/>
        </w:rPr>
        <w:t>故结余有所增长。</w:t>
      </w:r>
    </w:p>
    <w:p>
      <w:pPr>
        <w:ind w:firstLine="640" w:firstLineChars="200"/>
        <w:rPr>
          <w:rFonts w:hint="eastAsia" w:ascii="仿宋_GB2312" w:hAnsi="ˎ̥" w:eastAsia="仿宋_GB2312"/>
          <w:sz w:val="32"/>
          <w:szCs w:val="32"/>
        </w:rPr>
      </w:pP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w:t>
      </w:r>
      <w:r>
        <w:rPr>
          <w:rFonts w:hint="eastAsia" w:ascii="仿宋_GB2312" w:hAnsi="ˎ̥" w:eastAsia="仿宋_GB2312"/>
          <w:sz w:val="32"/>
          <w:szCs w:val="32"/>
        </w:rPr>
        <w:t>本年收入合计</w:t>
      </w:r>
      <w:r>
        <w:rPr>
          <w:rFonts w:hint="eastAsia" w:ascii="仿宋_GB2312" w:hAnsi="ˎ̥" w:eastAsia="仿宋_GB2312"/>
          <w:sz w:val="32"/>
          <w:szCs w:val="32"/>
          <w:lang w:val="en-US" w:eastAsia="zh-CN"/>
        </w:rPr>
        <w:t>7484.93</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6938.77</w:t>
      </w:r>
      <w:r>
        <w:rPr>
          <w:rFonts w:hint="eastAsia" w:ascii="仿宋_GB2312" w:hAnsi="ˎ̥" w:eastAsia="仿宋_GB2312"/>
          <w:sz w:val="32"/>
          <w:szCs w:val="32"/>
        </w:rPr>
        <w:t>万元，占</w:t>
      </w:r>
      <w:r>
        <w:rPr>
          <w:rFonts w:hint="eastAsia" w:ascii="仿宋_GB2312" w:hAnsi="ˎ̥" w:eastAsia="仿宋_GB2312"/>
          <w:sz w:val="32"/>
          <w:szCs w:val="32"/>
          <w:lang w:val="en-US" w:eastAsia="zh-CN"/>
        </w:rPr>
        <w:t>92.7</w:t>
      </w:r>
      <w:r>
        <w:rPr>
          <w:rFonts w:hint="eastAsia" w:ascii="仿宋_GB2312" w:hAnsi="ˎ̥" w:eastAsia="仿宋_GB2312"/>
          <w:sz w:val="32"/>
          <w:szCs w:val="32"/>
        </w:rPr>
        <w:t>%；上级补助收入0万元；事业收入0万元；经营收入0万元；附属单位上缴收入0万元；其他收入</w:t>
      </w:r>
      <w:r>
        <w:rPr>
          <w:rFonts w:hint="eastAsia" w:ascii="仿宋_GB2312" w:hAnsi="ˎ̥" w:eastAsia="仿宋_GB2312"/>
          <w:sz w:val="32"/>
          <w:szCs w:val="32"/>
          <w:lang w:val="en-US" w:eastAsia="zh-CN"/>
        </w:rPr>
        <w:t>546.16</w:t>
      </w:r>
      <w:r>
        <w:rPr>
          <w:rFonts w:hint="eastAsia" w:ascii="仿宋_GB2312" w:hAnsi="ˎ̥" w:eastAsia="仿宋_GB2312"/>
          <w:sz w:val="32"/>
          <w:szCs w:val="32"/>
        </w:rPr>
        <w:t>万元，占</w:t>
      </w:r>
      <w:r>
        <w:rPr>
          <w:rFonts w:hint="eastAsia" w:ascii="仿宋_GB2312" w:hAnsi="ˎ̥" w:eastAsia="仿宋_GB2312"/>
          <w:sz w:val="32"/>
          <w:szCs w:val="32"/>
          <w:lang w:val="en-US" w:eastAsia="zh-CN"/>
        </w:rPr>
        <w:t>7.3</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7299.85</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5197.68</w:t>
      </w:r>
      <w:r>
        <w:rPr>
          <w:rFonts w:hint="eastAsia" w:ascii="仿宋_GB2312" w:hAnsi="ˎ̥" w:eastAsia="仿宋_GB2312"/>
          <w:sz w:val="32"/>
          <w:szCs w:val="32"/>
        </w:rPr>
        <w:t>万元，占</w:t>
      </w:r>
      <w:r>
        <w:rPr>
          <w:rFonts w:hint="eastAsia" w:ascii="仿宋_GB2312" w:hAnsi="ˎ̥" w:eastAsia="仿宋_GB2312"/>
          <w:sz w:val="32"/>
          <w:szCs w:val="32"/>
          <w:lang w:val="en-US" w:eastAsia="zh-CN"/>
        </w:rPr>
        <w:t>71.2</w:t>
      </w:r>
      <w:r>
        <w:rPr>
          <w:rFonts w:hint="eastAsia" w:ascii="仿宋_GB2312" w:hAnsi="ˎ̥" w:eastAsia="仿宋_GB2312"/>
          <w:sz w:val="32"/>
          <w:szCs w:val="32"/>
        </w:rPr>
        <w:t>%；项目支出</w:t>
      </w:r>
      <w:r>
        <w:rPr>
          <w:rFonts w:hint="eastAsia" w:ascii="仿宋_GB2312" w:hAnsi="ˎ̥" w:eastAsia="仿宋_GB2312"/>
          <w:sz w:val="32"/>
          <w:szCs w:val="32"/>
          <w:lang w:val="en-US" w:eastAsia="zh-CN"/>
        </w:rPr>
        <w:t>2102.17</w:t>
      </w:r>
      <w:r>
        <w:rPr>
          <w:rFonts w:hint="eastAsia" w:ascii="仿宋_GB2312" w:hAnsi="ˎ̥" w:eastAsia="仿宋_GB2312"/>
          <w:sz w:val="32"/>
          <w:szCs w:val="32"/>
        </w:rPr>
        <w:t>万元，占</w:t>
      </w:r>
      <w:r>
        <w:rPr>
          <w:rFonts w:hint="eastAsia" w:ascii="仿宋_GB2312" w:hAnsi="ˎ̥" w:eastAsia="仿宋_GB2312"/>
          <w:sz w:val="32"/>
          <w:szCs w:val="32"/>
          <w:lang w:val="en-US" w:eastAsia="zh-CN"/>
        </w:rPr>
        <w:t>28.8</w:t>
      </w:r>
      <w:r>
        <w:rPr>
          <w:rFonts w:hint="eastAsia" w:ascii="仿宋_GB2312" w:hAnsi="ˎ̥" w:eastAsia="仿宋_GB2312"/>
          <w:sz w:val="32"/>
          <w:szCs w:val="32"/>
        </w:rPr>
        <w:t>%；上缴上级支出0万元；经营支出0万元；对附属单位补助支出0万元。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度财政拨款收入</w:t>
      </w:r>
      <w:r>
        <w:rPr>
          <w:rFonts w:hint="eastAsia" w:ascii="仿宋_GB2312" w:hAnsi="ˎ̥" w:eastAsia="仿宋_GB2312"/>
          <w:sz w:val="32"/>
          <w:szCs w:val="32"/>
          <w:lang w:val="en-US" w:eastAsia="zh-CN"/>
        </w:rPr>
        <w:t>9646.06</w:t>
      </w:r>
      <w:r>
        <w:rPr>
          <w:rFonts w:hint="eastAsia" w:ascii="仿宋_GB2312" w:hAnsi="ˎ̥" w:eastAsia="仿宋_GB2312"/>
          <w:sz w:val="32"/>
          <w:szCs w:val="32"/>
        </w:rPr>
        <w:t>万元，支出总计9</w:t>
      </w:r>
      <w:r>
        <w:rPr>
          <w:rFonts w:hint="eastAsia" w:ascii="仿宋_GB2312" w:hAnsi="ˎ̥" w:eastAsia="仿宋_GB2312"/>
          <w:sz w:val="32"/>
          <w:szCs w:val="32"/>
          <w:lang w:val="en-US" w:eastAsia="zh-CN"/>
        </w:rPr>
        <w:t>646.06</w:t>
      </w:r>
      <w:r>
        <w:rPr>
          <w:rFonts w:hint="eastAsia" w:ascii="仿宋_GB2312" w:hAnsi="ˎ̥" w:eastAsia="仿宋_GB2312"/>
          <w:sz w:val="32"/>
          <w:szCs w:val="32"/>
        </w:rPr>
        <w:t>万元。与</w:t>
      </w:r>
      <w:r>
        <w:rPr>
          <w:rFonts w:hint="eastAsia" w:ascii="仿宋_GB2312" w:hAnsi="ˎ̥" w:eastAsia="仿宋_GB2312"/>
          <w:sz w:val="32"/>
          <w:szCs w:val="32"/>
          <w:lang w:eastAsia="zh-CN"/>
        </w:rPr>
        <w:t>2021年</w:t>
      </w:r>
      <w:r>
        <w:rPr>
          <w:rFonts w:hint="eastAsia" w:ascii="仿宋_GB2312" w:hAnsi="ˎ̥" w:eastAsia="仿宋_GB2312"/>
          <w:sz w:val="32"/>
          <w:szCs w:val="32"/>
        </w:rPr>
        <w:t>度相比，财政拨款收入、支出总计各减少</w:t>
      </w:r>
      <w:r>
        <w:rPr>
          <w:rFonts w:hint="eastAsia" w:ascii="仿宋_GB2312" w:hAnsi="ˎ̥" w:eastAsia="仿宋_GB2312"/>
          <w:sz w:val="32"/>
          <w:szCs w:val="32"/>
          <w:lang w:val="en-US" w:eastAsia="zh-CN"/>
        </w:rPr>
        <w:t>96.07</w:t>
      </w:r>
      <w:r>
        <w:rPr>
          <w:rFonts w:hint="eastAsia" w:ascii="仿宋_GB2312" w:hAnsi="ˎ̥" w:eastAsia="仿宋_GB2312"/>
          <w:sz w:val="32"/>
          <w:szCs w:val="32"/>
        </w:rPr>
        <w:t>万元，下降</w:t>
      </w:r>
      <w:r>
        <w:rPr>
          <w:rFonts w:hint="eastAsia" w:ascii="仿宋_GB2312" w:hAnsi="ˎ̥" w:eastAsia="仿宋_GB2312"/>
          <w:sz w:val="32"/>
          <w:szCs w:val="32"/>
          <w:lang w:val="en-US" w:eastAsia="zh-CN"/>
        </w:rPr>
        <w:t>0.99</w:t>
      </w:r>
      <w:r>
        <w:rPr>
          <w:rFonts w:hint="eastAsia" w:ascii="仿宋_GB2312" w:hAnsi="ˎ̥" w:eastAsia="仿宋_GB2312"/>
          <w:sz w:val="32"/>
          <w:szCs w:val="32"/>
        </w:rPr>
        <w:t>%。主要原因：一是年初财政拨款结转结余较</w:t>
      </w:r>
      <w:r>
        <w:rPr>
          <w:rFonts w:hint="eastAsia" w:ascii="仿宋_GB2312" w:hAnsi="ˎ̥" w:eastAsia="仿宋_GB2312"/>
          <w:sz w:val="32"/>
          <w:szCs w:val="32"/>
          <w:lang w:eastAsia="zh-CN"/>
        </w:rPr>
        <w:t>2021年</w:t>
      </w:r>
      <w:r>
        <w:rPr>
          <w:rFonts w:hint="eastAsia" w:ascii="仿宋_GB2312" w:hAnsi="ˎ̥" w:eastAsia="仿宋_GB2312"/>
          <w:sz w:val="32"/>
          <w:szCs w:val="32"/>
        </w:rPr>
        <w:t>度少；二是无相关一次性支出任务，以及贯彻厉行节约政策，按照当年情况，减少不必要的支出。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财政拨款年初结转结余2707.29万元，主要是办案经费等经费结余，</w:t>
      </w:r>
      <w:r>
        <w:rPr>
          <w:rFonts w:hint="eastAsia" w:ascii="仿宋_GB2312" w:hAnsi="ˎ̥" w:eastAsia="仿宋_GB2312"/>
          <w:sz w:val="32"/>
          <w:szCs w:val="32"/>
          <w:lang w:eastAsia="zh-CN"/>
        </w:rPr>
        <w:t>与2021年</w:t>
      </w:r>
      <w:r>
        <w:rPr>
          <w:rFonts w:hint="eastAsia" w:ascii="仿宋_GB2312" w:hAnsi="ˎ̥" w:eastAsia="仿宋_GB2312"/>
          <w:sz w:val="32"/>
          <w:szCs w:val="32"/>
        </w:rPr>
        <w:t>度决算数</w:t>
      </w:r>
      <w:r>
        <w:rPr>
          <w:rFonts w:hint="eastAsia" w:ascii="仿宋_GB2312" w:hAnsi="ˎ̥" w:eastAsia="仿宋_GB2312"/>
          <w:sz w:val="32"/>
          <w:szCs w:val="32"/>
          <w:lang w:eastAsia="zh-CN"/>
        </w:rPr>
        <w:t>持平。</w:t>
      </w:r>
      <w:r>
        <w:rPr>
          <w:rFonts w:hint="eastAsia" w:ascii="仿宋_GB2312" w:hAnsi="ˎ̥" w:eastAsia="仿宋_GB2312"/>
          <w:sz w:val="32"/>
          <w:szCs w:val="32"/>
        </w:rPr>
        <w:t>财政拨款年末结转结余2707.29万元，主要是办案经费等相关经费，</w:t>
      </w:r>
      <w:r>
        <w:rPr>
          <w:rFonts w:hint="eastAsia" w:ascii="仿宋_GB2312" w:hAnsi="ˎ̥" w:eastAsia="仿宋_GB2312"/>
          <w:sz w:val="32"/>
          <w:szCs w:val="32"/>
          <w:lang w:eastAsia="zh-CN"/>
        </w:rPr>
        <w:t>与2021年</w:t>
      </w:r>
      <w:r>
        <w:rPr>
          <w:rFonts w:hint="eastAsia" w:ascii="仿宋_GB2312" w:hAnsi="ˎ̥" w:eastAsia="仿宋_GB2312"/>
          <w:sz w:val="32"/>
          <w:szCs w:val="32"/>
        </w:rPr>
        <w:t>度决算数</w:t>
      </w:r>
      <w:r>
        <w:rPr>
          <w:rFonts w:hint="eastAsia" w:ascii="仿宋_GB2312" w:hAnsi="ˎ̥" w:eastAsia="仿宋_GB2312"/>
          <w:sz w:val="32"/>
          <w:szCs w:val="32"/>
          <w:lang w:eastAsia="zh-CN"/>
        </w:rPr>
        <w:t>持平。</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ind w:firstLine="640" w:firstLineChars="200"/>
        <w:rPr>
          <w:rFonts w:hint="eastAsia" w:ascii="楷体" w:hAnsi="楷体" w:eastAsia="楷体" w:cs="楷体"/>
          <w:sz w:val="32"/>
          <w:szCs w:val="32"/>
        </w:rPr>
      </w:pPr>
      <w:bookmarkStart w:id="76" w:name="_Toc17398_WPSOffice_Level2"/>
      <w:bookmarkStart w:id="77" w:name="_Toc13694_WPSOffice_Level2"/>
      <w:bookmarkStart w:id="78" w:name="_Toc19665_WPSOffice_Level2"/>
      <w:bookmarkStart w:id="79" w:name="_Toc21737_WPSOffice_Level2"/>
      <w:bookmarkStart w:id="80" w:name="_Toc9989_WPSOffice_Level2"/>
      <w:bookmarkStart w:id="81" w:name="_Toc23005_WPSOffice_Level2"/>
      <w:r>
        <w:rPr>
          <w:rFonts w:hint="eastAsia" w:ascii="楷体" w:hAnsi="楷体" w:eastAsia="楷体" w:cs="楷体"/>
          <w:sz w:val="32"/>
          <w:szCs w:val="32"/>
        </w:rPr>
        <w:t>（一）一般公共预算财政拨款支出决算总体情况</w:t>
      </w:r>
      <w:bookmarkEnd w:id="76"/>
      <w:bookmarkEnd w:id="77"/>
      <w:r>
        <w:rPr>
          <w:rFonts w:hint="eastAsia" w:ascii="楷体" w:hAnsi="楷体" w:eastAsia="楷体" w:cs="楷体"/>
          <w:sz w:val="32"/>
          <w:szCs w:val="32"/>
        </w:rPr>
        <w:t>。</w:t>
      </w:r>
      <w:bookmarkEnd w:id="78"/>
      <w:bookmarkEnd w:id="79"/>
      <w:bookmarkEnd w:id="80"/>
      <w:bookmarkEnd w:id="81"/>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度一般公共预算财政拨款支出</w:t>
      </w:r>
      <w:r>
        <w:rPr>
          <w:rFonts w:hint="eastAsia" w:ascii="仿宋_GB2312" w:hAnsi="ˎ̥" w:eastAsia="仿宋_GB2312"/>
          <w:sz w:val="32"/>
          <w:szCs w:val="32"/>
          <w:lang w:val="en-US" w:eastAsia="zh-CN"/>
        </w:rPr>
        <w:t>6938.77</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95.05</w:t>
      </w:r>
      <w:r>
        <w:rPr>
          <w:rFonts w:hint="eastAsia" w:ascii="仿宋_GB2312" w:hAnsi="ˎ̥" w:eastAsia="仿宋_GB2312"/>
          <w:sz w:val="32"/>
          <w:szCs w:val="32"/>
        </w:rPr>
        <w:t>%。与</w:t>
      </w:r>
      <w:r>
        <w:rPr>
          <w:rFonts w:hint="eastAsia" w:ascii="仿宋_GB2312" w:hAnsi="ˎ̥" w:eastAsia="仿宋_GB2312"/>
          <w:sz w:val="32"/>
          <w:szCs w:val="32"/>
          <w:lang w:eastAsia="zh-CN"/>
        </w:rPr>
        <w:t>2021年</w:t>
      </w:r>
      <w:r>
        <w:rPr>
          <w:rFonts w:hint="eastAsia" w:ascii="仿宋_GB2312" w:hAnsi="ˎ̥" w:eastAsia="仿宋_GB2312"/>
          <w:sz w:val="32"/>
          <w:szCs w:val="32"/>
        </w:rPr>
        <w:t>度相比，一般公共预算财政拨款支出减少</w:t>
      </w:r>
      <w:r>
        <w:rPr>
          <w:rFonts w:hint="eastAsia" w:ascii="仿宋_GB2312" w:hAnsi="ˎ̥" w:eastAsia="仿宋_GB2312"/>
          <w:sz w:val="32"/>
          <w:szCs w:val="32"/>
          <w:lang w:val="en-US" w:eastAsia="zh-CN"/>
        </w:rPr>
        <w:t>96.07</w:t>
      </w:r>
      <w:r>
        <w:rPr>
          <w:rFonts w:hint="eastAsia" w:ascii="仿宋_GB2312" w:hAnsi="ˎ̥" w:eastAsia="仿宋_GB2312"/>
          <w:sz w:val="32"/>
          <w:szCs w:val="32"/>
        </w:rPr>
        <w:t>万元，下降</w:t>
      </w:r>
      <w:r>
        <w:rPr>
          <w:rFonts w:hint="eastAsia" w:ascii="仿宋_GB2312" w:hAnsi="ˎ̥" w:eastAsia="仿宋_GB2312"/>
          <w:sz w:val="32"/>
          <w:szCs w:val="32"/>
          <w:lang w:val="en-US" w:eastAsia="zh-CN"/>
        </w:rPr>
        <w:t>1.37</w:t>
      </w:r>
      <w:r>
        <w:rPr>
          <w:rFonts w:hint="eastAsia" w:ascii="仿宋_GB2312" w:hAnsi="ˎ̥" w:eastAsia="仿宋_GB2312"/>
          <w:sz w:val="32"/>
          <w:szCs w:val="32"/>
        </w:rPr>
        <w:t>%，主要原因是无相关设备购置需求、信息网络建设等一次性办案相关支出任务，以及贯彻厉行节约政策，减少不必要的支出。</w:t>
      </w:r>
    </w:p>
    <w:p>
      <w:pPr>
        <w:ind w:firstLine="640" w:firstLineChars="200"/>
        <w:rPr>
          <w:rFonts w:hint="eastAsia" w:ascii="楷体" w:hAnsi="楷体" w:eastAsia="楷体" w:cs="楷体"/>
          <w:sz w:val="32"/>
          <w:szCs w:val="32"/>
        </w:rPr>
      </w:pPr>
      <w:bookmarkStart w:id="82" w:name="_Toc2711_WPSOffice_Level2"/>
      <w:bookmarkStart w:id="83" w:name="_Toc18793_WPSOffice_Level2"/>
      <w:bookmarkStart w:id="84" w:name="_Toc19535_WPSOffice_Level2"/>
      <w:bookmarkStart w:id="85" w:name="_Toc23864_WPSOffice_Level2"/>
      <w:bookmarkStart w:id="86" w:name="_Toc19075_WPSOffice_Level2"/>
      <w:bookmarkStart w:id="87" w:name="_Toc27767_WPSOffice_Level2"/>
      <w:r>
        <w:rPr>
          <w:rFonts w:hint="eastAsia" w:ascii="楷体" w:hAnsi="楷体" w:eastAsia="楷体" w:cs="楷体"/>
          <w:sz w:val="32"/>
          <w:szCs w:val="32"/>
        </w:rPr>
        <w:t>（二）一般公共预算财政拨款支出决算结构情况</w:t>
      </w:r>
      <w:bookmarkEnd w:id="82"/>
      <w:bookmarkEnd w:id="83"/>
      <w:r>
        <w:rPr>
          <w:rFonts w:hint="eastAsia" w:ascii="楷体" w:hAnsi="楷体" w:eastAsia="楷体" w:cs="楷体"/>
          <w:sz w:val="32"/>
          <w:szCs w:val="32"/>
        </w:rPr>
        <w:t>。</w:t>
      </w:r>
      <w:bookmarkEnd w:id="84"/>
      <w:bookmarkEnd w:id="85"/>
      <w:bookmarkEnd w:id="86"/>
      <w:bookmarkEnd w:id="87"/>
    </w:p>
    <w:p>
      <w:r>
        <w:rPr>
          <w:rFonts w:hint="eastAsia" w:ascii="仿宋_GB2312" w:hAnsi="ˎ̥" w:eastAsia="仿宋_GB2312"/>
          <w:sz w:val="32"/>
          <w:szCs w:val="32"/>
          <w:lang w:eastAsia="zh-CN"/>
        </w:rPr>
        <w:t>2022年</w:t>
      </w:r>
      <w:r>
        <w:rPr>
          <w:rFonts w:hint="eastAsia" w:ascii="仿宋_GB2312" w:hAnsi="ˎ̥" w:eastAsia="仿宋_GB2312"/>
          <w:sz w:val="32"/>
          <w:szCs w:val="32"/>
        </w:rPr>
        <w:t>度一般公共预算财政拨款支出</w:t>
      </w:r>
      <w:r>
        <w:rPr>
          <w:rFonts w:hint="eastAsia" w:ascii="仿宋_GB2312" w:hAnsi="ˎ̥" w:eastAsia="仿宋_GB2312"/>
          <w:sz w:val="32"/>
          <w:szCs w:val="32"/>
          <w:lang w:val="en-US" w:eastAsia="zh-CN"/>
        </w:rPr>
        <w:t>6938.77</w:t>
      </w:r>
      <w:r>
        <w:rPr>
          <w:rFonts w:hint="eastAsia" w:ascii="仿宋_GB2312" w:hAnsi="ˎ̥" w:eastAsia="仿宋_GB2312"/>
          <w:sz w:val="32"/>
          <w:szCs w:val="32"/>
        </w:rPr>
        <w:t>万元，主要用于以下方面：公共安全（类）支出</w:t>
      </w:r>
      <w:r>
        <w:rPr>
          <w:rFonts w:hint="eastAsia" w:ascii="仿宋_GB2312" w:hAnsi="ˎ̥" w:eastAsia="仿宋_GB2312"/>
          <w:sz w:val="32"/>
          <w:szCs w:val="32"/>
          <w:lang w:val="en-US" w:eastAsia="zh-CN"/>
        </w:rPr>
        <w:t>6187.36</w:t>
      </w:r>
      <w:r>
        <w:rPr>
          <w:rFonts w:hint="eastAsia" w:ascii="仿宋_GB2312" w:hAnsi="ˎ̥" w:eastAsia="仿宋_GB2312"/>
          <w:sz w:val="32"/>
          <w:szCs w:val="32"/>
        </w:rPr>
        <w:t>万元，占</w:t>
      </w:r>
      <w:r>
        <w:rPr>
          <w:rFonts w:hint="eastAsia" w:ascii="仿宋_GB2312" w:hAnsi="ˎ̥" w:eastAsia="仿宋_GB2312"/>
          <w:sz w:val="32"/>
          <w:szCs w:val="32"/>
          <w:lang w:val="en-US" w:eastAsia="zh-CN"/>
        </w:rPr>
        <w:t>89.17</w:t>
      </w:r>
      <w:r>
        <w:rPr>
          <w:rFonts w:hint="eastAsia" w:ascii="仿宋_GB2312" w:hAnsi="ˎ̥" w:eastAsia="仿宋_GB2312"/>
          <w:sz w:val="32"/>
          <w:szCs w:val="32"/>
        </w:rPr>
        <w:t>%；社会保障和就业（类）支出</w:t>
      </w:r>
      <w:r>
        <w:rPr>
          <w:rFonts w:hint="eastAsia" w:ascii="仿宋_GB2312" w:hAnsi="ˎ̥" w:eastAsia="仿宋_GB2312"/>
          <w:sz w:val="32"/>
          <w:szCs w:val="32"/>
          <w:lang w:val="en-US" w:eastAsia="zh-CN"/>
        </w:rPr>
        <w:t>209.2</w:t>
      </w:r>
      <w:r>
        <w:rPr>
          <w:rFonts w:hint="eastAsia" w:ascii="仿宋_GB2312" w:hAnsi="ˎ̥" w:eastAsia="仿宋_GB2312"/>
          <w:sz w:val="32"/>
          <w:szCs w:val="32"/>
        </w:rPr>
        <w:t>万元，占3.</w:t>
      </w:r>
      <w:r>
        <w:rPr>
          <w:rFonts w:hint="eastAsia" w:ascii="仿宋_GB2312" w:hAnsi="ˎ̥" w:eastAsia="仿宋_GB2312"/>
          <w:sz w:val="32"/>
          <w:szCs w:val="32"/>
          <w:lang w:val="en-US" w:eastAsia="zh-CN"/>
        </w:rPr>
        <w:t>01</w:t>
      </w:r>
      <w:r>
        <w:rPr>
          <w:rFonts w:hint="eastAsia" w:ascii="仿宋_GB2312" w:hAnsi="ˎ̥" w:eastAsia="仿宋_GB2312"/>
          <w:sz w:val="32"/>
          <w:szCs w:val="32"/>
        </w:rPr>
        <w:t>%；卫生健康支出（类）支出</w:t>
      </w:r>
      <w:r>
        <w:rPr>
          <w:rFonts w:hint="eastAsia" w:ascii="仿宋_GB2312" w:hAnsi="ˎ̥" w:eastAsia="仿宋_GB2312"/>
          <w:sz w:val="32"/>
          <w:szCs w:val="32"/>
          <w:lang w:val="en-US" w:eastAsia="zh-CN"/>
        </w:rPr>
        <w:t>251.33</w:t>
      </w:r>
      <w:r>
        <w:rPr>
          <w:rFonts w:hint="eastAsia" w:ascii="仿宋_GB2312" w:hAnsi="ˎ̥" w:eastAsia="仿宋_GB2312"/>
          <w:sz w:val="32"/>
          <w:szCs w:val="32"/>
        </w:rPr>
        <w:t>万元，占</w:t>
      </w:r>
      <w:r>
        <w:rPr>
          <w:rFonts w:hint="eastAsia" w:ascii="仿宋_GB2312" w:hAnsi="ˎ̥" w:eastAsia="仿宋_GB2312"/>
          <w:sz w:val="32"/>
          <w:szCs w:val="32"/>
          <w:lang w:val="en-US" w:eastAsia="zh-CN"/>
        </w:rPr>
        <w:t>3.62</w:t>
      </w:r>
      <w:r>
        <w:rPr>
          <w:rFonts w:hint="eastAsia" w:ascii="仿宋_GB2312" w:hAnsi="ˎ̥" w:eastAsia="仿宋_GB2312"/>
          <w:sz w:val="32"/>
          <w:szCs w:val="32"/>
        </w:rPr>
        <w:t>%；住房保障（类）支出</w:t>
      </w:r>
      <w:r>
        <w:rPr>
          <w:rFonts w:hint="eastAsia" w:ascii="仿宋_GB2312" w:hAnsi="ˎ̥" w:eastAsia="仿宋_GB2312"/>
          <w:sz w:val="32"/>
          <w:szCs w:val="32"/>
          <w:lang w:val="en-US" w:eastAsia="zh-CN"/>
        </w:rPr>
        <w:t>290.89万元</w:t>
      </w:r>
      <w:r>
        <w:rPr>
          <w:rFonts w:hint="eastAsia" w:ascii="仿宋_GB2312" w:hAnsi="ˎ̥" w:eastAsia="仿宋_GB2312"/>
          <w:sz w:val="32"/>
          <w:szCs w:val="32"/>
        </w:rPr>
        <w:t>，占</w:t>
      </w:r>
      <w:r>
        <w:rPr>
          <w:rFonts w:hint="eastAsia" w:ascii="仿宋_GB2312" w:hAnsi="ˎ̥" w:eastAsia="仿宋_GB2312"/>
          <w:sz w:val="32"/>
          <w:szCs w:val="32"/>
          <w:lang w:val="en-US" w:eastAsia="zh-CN"/>
        </w:rPr>
        <w:t>4.2</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8" w:name="_Toc22318_WPSOffice_Level2"/>
      <w:bookmarkStart w:id="89" w:name="_Toc25136_WPSOffice_Level2"/>
      <w:bookmarkStart w:id="90" w:name="_Toc21701_WPSOffice_Level2"/>
      <w:bookmarkStart w:id="91" w:name="_Toc9502_WPSOffice_Level2"/>
      <w:bookmarkStart w:id="92" w:name="_Toc29364_WPSOffice_Level2"/>
      <w:bookmarkStart w:id="93" w:name="_Toc15415_WPSOffice_Level2"/>
      <w:r>
        <w:rPr>
          <w:rFonts w:hint="eastAsia" w:ascii="楷体" w:hAnsi="楷体" w:eastAsia="楷体" w:cs="楷体"/>
          <w:sz w:val="32"/>
          <w:szCs w:val="32"/>
        </w:rPr>
        <w:t>（三）一般公共预算财政拨款支出决算具体情况。</w:t>
      </w:r>
      <w:bookmarkEnd w:id="88"/>
      <w:bookmarkEnd w:id="89"/>
      <w:bookmarkEnd w:id="90"/>
      <w:bookmarkEnd w:id="91"/>
      <w:bookmarkEnd w:id="92"/>
      <w:bookmarkEnd w:id="93"/>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度一般公共预算财政拨款支出年初预算为</w:t>
      </w:r>
      <w:r>
        <w:rPr>
          <w:rFonts w:hint="eastAsia" w:ascii="仿宋_GB2312" w:hAnsi="ˎ̥" w:eastAsia="仿宋_GB2312"/>
          <w:sz w:val="32"/>
          <w:szCs w:val="32"/>
          <w:lang w:val="en-US" w:eastAsia="zh-CN"/>
        </w:rPr>
        <w:t>7423.47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6938.77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93.47</w:t>
      </w:r>
      <w:r>
        <w:rPr>
          <w:rFonts w:hint="eastAsia" w:ascii="仿宋_GB2312" w:hAnsi="ˎ̥" w:eastAsia="仿宋_GB2312"/>
          <w:sz w:val="32"/>
          <w:szCs w:val="32"/>
        </w:rPr>
        <w:t>%。其中：</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1. 公共安全支出（类）法院（款）行政运行（项）。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4819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4862.51</w:t>
      </w:r>
      <w:r>
        <w:rPr>
          <w:rFonts w:hint="eastAsia" w:ascii="仿宋_GB2312" w:hAnsi="ˎ̥" w:eastAsia="仿宋_GB2312"/>
          <w:sz w:val="32"/>
          <w:szCs w:val="32"/>
        </w:rPr>
        <w:t>万元，完成初预算的</w:t>
      </w:r>
      <w:r>
        <w:rPr>
          <w:rFonts w:hint="eastAsia" w:ascii="仿宋_GB2312" w:hAnsi="ˎ̥" w:eastAsia="仿宋_GB2312"/>
          <w:sz w:val="32"/>
          <w:szCs w:val="32"/>
          <w:lang w:val="en-US" w:eastAsia="zh-CN"/>
        </w:rPr>
        <w:t>100.9</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于预算数的主要原因：主要是由于新一年度人员工资情况的变化、正常预算误差以及系统自提比例设置原因，导致预算数值偏</w:t>
      </w:r>
      <w:r>
        <w:rPr>
          <w:rFonts w:hint="eastAsia" w:ascii="仿宋_GB2312" w:hAnsi="ˎ̥" w:eastAsia="仿宋_GB2312"/>
          <w:sz w:val="32"/>
          <w:szCs w:val="32"/>
          <w:lang w:eastAsia="zh-CN"/>
        </w:rPr>
        <w:t>小</w:t>
      </w:r>
      <w:r>
        <w:rPr>
          <w:rFonts w:hint="eastAsia" w:ascii="仿宋_GB2312" w:hAnsi="ˎ̥" w:eastAsia="仿宋_GB2312"/>
          <w:sz w:val="32"/>
          <w:szCs w:val="32"/>
        </w:rPr>
        <w:t>，故决算数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 公共安全支出（类）法院（款）案件审判（项）。年初预算为</w:t>
      </w:r>
      <w:r>
        <w:rPr>
          <w:rFonts w:hint="eastAsia" w:ascii="仿宋_GB2312" w:hAnsi="ˎ̥" w:eastAsia="仿宋_GB2312"/>
          <w:sz w:val="32"/>
          <w:szCs w:val="32"/>
          <w:lang w:val="en-US" w:eastAsia="zh-CN"/>
        </w:rPr>
        <w:t>1106.72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871.62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78.76</w:t>
      </w:r>
      <w:r>
        <w:rPr>
          <w:rFonts w:hint="eastAsia" w:ascii="仿宋_GB2312" w:hAnsi="ˎ̥" w:eastAsia="仿宋_GB2312"/>
          <w:sz w:val="32"/>
          <w:szCs w:val="32"/>
        </w:rPr>
        <w:t>%，</w:t>
      </w:r>
      <w:r>
        <w:rPr>
          <w:rFonts w:hint="eastAsia" w:ascii="仿宋_GB2312" w:hAnsi="ˎ̥" w:eastAsia="仿宋_GB2312" w:cs="Times New Roman"/>
          <w:sz w:val="32"/>
          <w:szCs w:val="32"/>
        </w:rPr>
        <w:t>决算数</w:t>
      </w:r>
      <w:r>
        <w:rPr>
          <w:rFonts w:hint="eastAsia" w:ascii="仿宋_GB2312" w:hAnsi="ˎ̥" w:eastAsia="仿宋_GB2312" w:cs="Times New Roman"/>
          <w:sz w:val="32"/>
          <w:szCs w:val="32"/>
          <w:lang w:eastAsia="zh-CN"/>
        </w:rPr>
        <w:t>比</w:t>
      </w:r>
      <w:r>
        <w:rPr>
          <w:rFonts w:hint="eastAsia" w:ascii="仿宋_GB2312" w:hAnsi="ˎ̥" w:eastAsia="仿宋_GB2312" w:cs="Times New Roman"/>
          <w:sz w:val="32"/>
          <w:szCs w:val="32"/>
        </w:rPr>
        <w:t>预算数</w:t>
      </w:r>
      <w:r>
        <w:rPr>
          <w:rFonts w:hint="eastAsia" w:ascii="仿宋_GB2312" w:hAnsi="ˎ̥" w:eastAsia="仿宋_GB2312" w:cs="Times New Roman"/>
          <w:sz w:val="32"/>
          <w:szCs w:val="32"/>
          <w:lang w:eastAsia="zh-CN"/>
        </w:rPr>
        <w:t>少，主要是由于政法办案经费按照财厅指示做在了案件审判中，总额增加，而受疫情影响，</w:t>
      </w:r>
      <w:r>
        <w:rPr>
          <w:rFonts w:hint="eastAsia" w:ascii="仿宋_GB2312" w:hAnsi="ˎ̥" w:eastAsia="仿宋_GB2312" w:cs="Times New Roman"/>
          <w:sz w:val="32"/>
          <w:szCs w:val="32"/>
          <w:lang w:val="en-US" w:eastAsia="zh-CN"/>
        </w:rPr>
        <w:t>2022年支出减少</w:t>
      </w:r>
      <w:r>
        <w:rPr>
          <w:rFonts w:hint="eastAsia" w:ascii="仿宋_GB2312" w:hAnsi="ˎ̥" w:eastAsia="仿宋_GB2312" w:cs="Times New Roman"/>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3</w:t>
      </w:r>
      <w:r>
        <w:rPr>
          <w:rFonts w:hint="eastAsia" w:ascii="仿宋_GB2312" w:hAnsi="ˎ̥" w:eastAsia="仿宋_GB2312"/>
          <w:sz w:val="32"/>
          <w:szCs w:val="32"/>
        </w:rPr>
        <w:t>.公共安全支出（类）法院（款）案件执行（项）。年初预算为2万元，支出决算为2万元，完成年初预算的100%，决算数与预算数相等。</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4</w:t>
      </w:r>
      <w:r>
        <w:rPr>
          <w:rFonts w:hint="eastAsia" w:ascii="仿宋_GB2312" w:hAnsi="ˎ̥" w:eastAsia="仿宋_GB2312"/>
          <w:sz w:val="32"/>
          <w:szCs w:val="32"/>
        </w:rPr>
        <w:t>.公共安全支出（类）法院（款）其他法院支出（项）。年初预算为</w:t>
      </w:r>
      <w:r>
        <w:rPr>
          <w:rFonts w:hint="eastAsia" w:ascii="仿宋_GB2312" w:hAnsi="ˎ̥" w:eastAsia="仿宋_GB2312"/>
          <w:sz w:val="32"/>
          <w:szCs w:val="32"/>
          <w:lang w:val="en-US" w:eastAsia="zh-CN"/>
        </w:rPr>
        <w:t>327.18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366.24</w:t>
      </w:r>
      <w:r>
        <w:rPr>
          <w:rFonts w:hint="eastAsia" w:ascii="仿宋_GB2312" w:hAnsi="ˎ̥" w:eastAsia="仿宋_GB2312"/>
          <w:sz w:val="32"/>
          <w:szCs w:val="32"/>
        </w:rPr>
        <w:t>万元，完成年初预算的1</w:t>
      </w:r>
      <w:r>
        <w:rPr>
          <w:rFonts w:hint="eastAsia" w:ascii="仿宋_GB2312" w:hAnsi="ˎ̥" w:eastAsia="仿宋_GB2312"/>
          <w:sz w:val="32"/>
          <w:szCs w:val="32"/>
          <w:lang w:val="en-US" w:eastAsia="zh-CN"/>
        </w:rPr>
        <w:t>11.94</w:t>
      </w:r>
      <w:r>
        <w:rPr>
          <w:rFonts w:hint="eastAsia" w:ascii="仿宋_GB2312" w:hAnsi="ˎ̥" w:eastAsia="仿宋_GB2312"/>
          <w:sz w:val="32"/>
          <w:szCs w:val="32"/>
        </w:rPr>
        <w:t>%。决算数大于预算数的主要原因：由于有上年结转结余资金下达及年中经费追加下达，故决算数大于预算数。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5</w:t>
      </w:r>
      <w:r>
        <w:rPr>
          <w:rFonts w:hint="eastAsia" w:ascii="仿宋_GB2312" w:hAnsi="ˎ̥" w:eastAsia="仿宋_GB2312"/>
          <w:sz w:val="32"/>
          <w:szCs w:val="32"/>
        </w:rPr>
        <w:t>.社会保障和就业支出（类）行政事业单位养老支出（款）机关事业单位基本养老保险缴费支出（项）。年初预算为32</w:t>
      </w:r>
      <w:r>
        <w:rPr>
          <w:rFonts w:hint="eastAsia" w:ascii="仿宋_GB2312" w:hAnsi="ˎ̥" w:eastAsia="仿宋_GB2312"/>
          <w:sz w:val="32"/>
          <w:szCs w:val="32"/>
          <w:lang w:val="en-US" w:eastAsia="zh-CN"/>
        </w:rPr>
        <w:t>2.91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166.65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51.61</w:t>
      </w:r>
      <w:r>
        <w:rPr>
          <w:rFonts w:hint="eastAsia" w:ascii="仿宋_GB2312" w:hAnsi="ˎ̥" w:eastAsia="仿宋_GB2312"/>
          <w:sz w:val="32"/>
          <w:szCs w:val="32"/>
        </w:rPr>
        <w:t>%。决算数小于预算数的主要原因：由于正常预算误差以及系统自提比例设置原因，导致预算数值偏大，故决算数小于预算数。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6</w:t>
      </w:r>
      <w:r>
        <w:rPr>
          <w:rFonts w:hint="eastAsia" w:ascii="仿宋_GB2312" w:hAnsi="ˎ̥" w:eastAsia="仿宋_GB2312"/>
          <w:sz w:val="32"/>
          <w:szCs w:val="32"/>
        </w:rPr>
        <w:t>. 社会保障和就业支出（类）抚恤（款）其他优抚支出（项）。年初预算为</w:t>
      </w:r>
      <w:r>
        <w:rPr>
          <w:rFonts w:hint="eastAsia" w:ascii="仿宋_GB2312" w:hAnsi="ˎ̥" w:eastAsia="仿宋_GB2312"/>
          <w:sz w:val="32"/>
          <w:szCs w:val="32"/>
          <w:lang w:val="en-US" w:eastAsia="zh-CN"/>
        </w:rPr>
        <w:t>3.61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4.01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112.47</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于预算数的主要原因：一是由于编制年初预算时的人数与年度执行中有不一致</w:t>
      </w:r>
      <w:r>
        <w:rPr>
          <w:rFonts w:hint="eastAsia" w:ascii="仿宋_GB2312" w:hAnsi="ˎ̥" w:eastAsia="仿宋_GB2312"/>
          <w:sz w:val="32"/>
          <w:szCs w:val="32"/>
          <w:lang w:eastAsia="zh-CN"/>
        </w:rPr>
        <w:t>；</w:t>
      </w:r>
      <w:r>
        <w:rPr>
          <w:rFonts w:hint="eastAsia" w:ascii="仿宋_GB2312" w:hAnsi="ˎ̥" w:eastAsia="仿宋_GB2312"/>
          <w:sz w:val="32"/>
          <w:szCs w:val="32"/>
        </w:rPr>
        <w:t>二是考虑到</w:t>
      </w:r>
      <w:r>
        <w:rPr>
          <w:rFonts w:hint="eastAsia" w:ascii="仿宋_GB2312" w:hAnsi="ˎ̥" w:eastAsia="仿宋_GB2312"/>
          <w:sz w:val="32"/>
          <w:szCs w:val="32"/>
          <w:lang w:eastAsia="zh-CN"/>
        </w:rPr>
        <w:t>2022年</w:t>
      </w:r>
      <w:r>
        <w:rPr>
          <w:rFonts w:hint="eastAsia" w:ascii="仿宋_GB2312" w:hAnsi="ˎ̥" w:eastAsia="仿宋_GB2312"/>
          <w:sz w:val="32"/>
          <w:szCs w:val="32"/>
        </w:rPr>
        <w:t>遗属补助发放政策可能发生的变化，在预算编制时适当</w:t>
      </w:r>
      <w:r>
        <w:rPr>
          <w:rFonts w:hint="eastAsia" w:ascii="仿宋_GB2312" w:hAnsi="ˎ̥" w:eastAsia="仿宋_GB2312"/>
          <w:sz w:val="32"/>
          <w:szCs w:val="32"/>
          <w:lang w:eastAsia="zh-CN"/>
        </w:rPr>
        <w:t>调整</w:t>
      </w:r>
      <w:r>
        <w:rPr>
          <w:rFonts w:hint="eastAsia" w:ascii="仿宋_GB2312" w:hAnsi="ˎ̥" w:eastAsia="仿宋_GB2312"/>
          <w:sz w:val="32"/>
          <w:szCs w:val="32"/>
        </w:rPr>
        <w:t>一些经费以备发放。综上，故该项经费决算数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7</w:t>
      </w:r>
      <w:r>
        <w:rPr>
          <w:rFonts w:hint="eastAsia" w:ascii="仿宋_GB2312" w:hAnsi="ˎ̥" w:eastAsia="仿宋_GB2312"/>
          <w:sz w:val="32"/>
          <w:szCs w:val="32"/>
        </w:rPr>
        <w:t>.卫生健康支出（类）行政事业单位医疗（款）行政单位医疗（项）。年初预算为</w:t>
      </w:r>
      <w:r>
        <w:rPr>
          <w:rFonts w:hint="eastAsia" w:ascii="仿宋_GB2312" w:hAnsi="ˎ̥" w:eastAsia="仿宋_GB2312"/>
          <w:sz w:val="32"/>
          <w:szCs w:val="32"/>
          <w:lang w:val="en-US" w:eastAsia="zh-CN"/>
        </w:rPr>
        <w:t>169.63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88.15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51.97</w:t>
      </w:r>
      <w:r>
        <w:rPr>
          <w:rFonts w:hint="eastAsia" w:ascii="仿宋_GB2312" w:hAnsi="ˎ̥" w:eastAsia="仿宋_GB2312"/>
          <w:sz w:val="32"/>
          <w:szCs w:val="32"/>
        </w:rPr>
        <w:t>%，决算数小于预算数，主要原因是：由于正常预算误差以及系统自提比例设置原因，导致实际预算数值偏大，故决算数小于预算数。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8</w:t>
      </w:r>
      <w:r>
        <w:rPr>
          <w:rFonts w:hint="eastAsia" w:ascii="仿宋_GB2312" w:hAnsi="ˎ̥" w:eastAsia="仿宋_GB2312"/>
          <w:sz w:val="32"/>
          <w:szCs w:val="32"/>
        </w:rPr>
        <w:t>.卫生健康支出（类）行政事业单位医疗（款）公务员医疗补助（项）。年初预算为19</w:t>
      </w:r>
      <w:r>
        <w:rPr>
          <w:rFonts w:hint="eastAsia" w:ascii="仿宋_GB2312" w:hAnsi="ˎ̥" w:eastAsia="仿宋_GB2312"/>
          <w:sz w:val="32"/>
          <w:szCs w:val="32"/>
          <w:lang w:val="en-US" w:eastAsia="zh-CN"/>
        </w:rPr>
        <w:t>9.56</w:t>
      </w:r>
      <w:r>
        <w:rPr>
          <w:rFonts w:hint="eastAsia" w:ascii="仿宋_GB2312" w:hAnsi="ˎ̥" w:eastAsia="仿宋_GB2312"/>
          <w:sz w:val="32"/>
          <w:szCs w:val="32"/>
        </w:rPr>
        <w:t>万元，支出决算为1</w:t>
      </w:r>
      <w:r>
        <w:rPr>
          <w:rFonts w:hint="eastAsia" w:ascii="仿宋_GB2312" w:hAnsi="ˎ̥" w:eastAsia="仿宋_GB2312"/>
          <w:sz w:val="32"/>
          <w:szCs w:val="32"/>
          <w:lang w:val="en-US" w:eastAsia="zh-CN"/>
        </w:rPr>
        <w:t>63.81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82.09</w:t>
      </w:r>
      <w:r>
        <w:rPr>
          <w:rFonts w:hint="eastAsia" w:ascii="仿宋_GB2312" w:hAnsi="ˎ̥" w:eastAsia="仿宋_GB2312"/>
          <w:sz w:val="32"/>
          <w:szCs w:val="32"/>
        </w:rPr>
        <w:t>%，决算数</w:t>
      </w:r>
      <w:r>
        <w:rPr>
          <w:rFonts w:hint="eastAsia" w:ascii="仿宋_GB2312" w:hAnsi="ˎ̥" w:eastAsia="仿宋_GB2312"/>
          <w:sz w:val="32"/>
          <w:szCs w:val="32"/>
          <w:lang w:eastAsia="zh-CN"/>
        </w:rPr>
        <w:t>小于</w:t>
      </w:r>
      <w:r>
        <w:rPr>
          <w:rFonts w:hint="eastAsia" w:ascii="仿宋_GB2312" w:hAnsi="ˎ̥" w:eastAsia="仿宋_GB2312"/>
          <w:sz w:val="32"/>
          <w:szCs w:val="32"/>
        </w:rPr>
        <w:t>预算数</w:t>
      </w:r>
      <w:r>
        <w:rPr>
          <w:rFonts w:hint="eastAsia" w:ascii="仿宋_GB2312" w:hAnsi="ˎ̥" w:eastAsia="仿宋_GB2312"/>
          <w:sz w:val="32"/>
          <w:szCs w:val="32"/>
          <w:lang w:eastAsia="zh-CN"/>
        </w:rPr>
        <w:t>主要原因是</w:t>
      </w:r>
      <w:r>
        <w:rPr>
          <w:rFonts w:hint="eastAsia" w:ascii="仿宋_GB2312" w:hAnsi="ˎ̥" w:eastAsia="仿宋_GB2312"/>
          <w:sz w:val="32"/>
          <w:szCs w:val="32"/>
        </w:rPr>
        <w:t>由于正常预算误差以及系统自提比例设置原因，导致实际预算数值偏大，故决算数小于预算数。。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9</w:t>
      </w:r>
      <w:r>
        <w:rPr>
          <w:rFonts w:hint="eastAsia" w:ascii="仿宋_GB2312" w:hAnsi="ˎ̥" w:eastAsia="仿宋_GB2312"/>
          <w:sz w:val="32"/>
          <w:szCs w:val="32"/>
        </w:rPr>
        <w:t>.住房保障支出（类）住房改革支出（款）住房公积金（项）。年初预算为19</w:t>
      </w:r>
      <w:r>
        <w:rPr>
          <w:rFonts w:hint="eastAsia" w:ascii="仿宋_GB2312" w:hAnsi="ˎ̥" w:eastAsia="仿宋_GB2312"/>
          <w:sz w:val="32"/>
          <w:szCs w:val="32"/>
          <w:lang w:val="en-US" w:eastAsia="zh-CN"/>
        </w:rPr>
        <w:t>7.47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290.89</w:t>
      </w:r>
      <w:r>
        <w:rPr>
          <w:rFonts w:hint="eastAsia" w:ascii="仿宋_GB2312" w:hAnsi="ˎ̥" w:eastAsia="仿宋_GB2312"/>
          <w:sz w:val="32"/>
          <w:szCs w:val="32"/>
        </w:rPr>
        <w:t>万元，完成年初预算的1</w:t>
      </w:r>
      <w:r>
        <w:rPr>
          <w:rFonts w:hint="eastAsia" w:ascii="仿宋_GB2312" w:hAnsi="ˎ̥" w:eastAsia="仿宋_GB2312"/>
          <w:sz w:val="32"/>
          <w:szCs w:val="32"/>
          <w:lang w:val="en-US" w:eastAsia="zh-CN"/>
        </w:rPr>
        <w:t>47.31</w:t>
      </w:r>
      <w:r>
        <w:rPr>
          <w:rFonts w:hint="eastAsia" w:ascii="仿宋_GB2312" w:hAnsi="ˎ̥" w:eastAsia="仿宋_GB2312"/>
          <w:sz w:val="32"/>
          <w:szCs w:val="32"/>
        </w:rPr>
        <w:t>%，决算数大于预算数，主要原因是：一是工资标准及人数的变动导致该项经费也相应增加；二是年初预算编制的系统生成数据与年度执行数据有差距，该项经费年中追加下达，故最后决算数有所增长。</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sz w:val="32"/>
          <w:szCs w:val="32"/>
          <w:lang w:eastAsia="zh-CN"/>
        </w:rPr>
        <w:t>2022年</w:t>
      </w:r>
      <w:r>
        <w:rPr>
          <w:rFonts w:hint="eastAsia" w:ascii="仿宋_GB2312" w:hAnsi="ˎ̥" w:eastAsia="仿宋_GB2312"/>
          <w:sz w:val="32"/>
          <w:szCs w:val="32"/>
        </w:rPr>
        <w:t>度财政拨款基本支出</w:t>
      </w:r>
      <w:r>
        <w:rPr>
          <w:rFonts w:hint="eastAsia" w:ascii="仿宋_GB2312" w:hAnsi="ˎ̥" w:eastAsia="仿宋_GB2312"/>
          <w:sz w:val="32"/>
          <w:szCs w:val="32"/>
          <w:lang w:val="en-US" w:eastAsia="zh-CN"/>
        </w:rPr>
        <w:t>5197.68</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4525.59</w:t>
      </w:r>
      <w:r>
        <w:rPr>
          <w:rFonts w:hint="eastAsia" w:ascii="仿宋_GB2312" w:hAnsi="ˎ̥" w:eastAsia="仿宋_GB2312"/>
          <w:sz w:val="32"/>
          <w:szCs w:val="32"/>
        </w:rPr>
        <w:t>万元，主要包括：工资福利支出中的基本工资、津贴补贴、奖金、机关事业单位基本养老保险缴费、职工基本医疗保险缴费、公务员医疗补助缴费、其他社会保障缴费、住房公积金、医疗费、其他工资福利支出；对个人和家庭的补助中的生活补助、奖励金、其他对个人和家庭的补助。公用经费</w:t>
      </w:r>
      <w:r>
        <w:rPr>
          <w:rFonts w:hint="eastAsia" w:ascii="仿宋_GB2312" w:hAnsi="ˎ̥" w:eastAsia="仿宋_GB2312"/>
          <w:sz w:val="32"/>
          <w:szCs w:val="32"/>
          <w:lang w:val="en-US" w:eastAsia="zh-CN"/>
        </w:rPr>
        <w:t>672.09</w:t>
      </w:r>
      <w:r>
        <w:rPr>
          <w:rFonts w:hint="eastAsia" w:ascii="仿宋_GB2312" w:hAnsi="ˎ̥" w:eastAsia="仿宋_GB2312"/>
          <w:sz w:val="32"/>
          <w:szCs w:val="32"/>
        </w:rPr>
        <w:t>万元，主要包括：商品和服务支出中的办公费、印刷费、水费、电费、邮电费、物业管理费、差旅费、维修（护）费、培训费、劳务费、工会经费、公务用车运行维护费、其他交通费用、其他商品和服务支出。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度政府性基金预算财政拨款支出0万元，与</w:t>
      </w:r>
      <w:r>
        <w:rPr>
          <w:rFonts w:hint="eastAsia" w:ascii="仿宋_GB2312" w:hAnsi="ˎ̥" w:eastAsia="仿宋_GB2312"/>
          <w:sz w:val="32"/>
          <w:szCs w:val="32"/>
          <w:lang w:eastAsia="zh-CN"/>
        </w:rPr>
        <w:t>2021年</w:t>
      </w:r>
      <w:r>
        <w:rPr>
          <w:rFonts w:hint="eastAsia" w:ascii="仿宋_GB2312" w:hAnsi="ˎ̥" w:eastAsia="仿宋_GB2312"/>
          <w:sz w:val="32"/>
          <w:szCs w:val="32"/>
        </w:rPr>
        <w:t>度持平。</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度政府性基金预算财政拨款支出0万元。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度政府性基金预算财政拨款支出年初预算为0万元，支出决算为0万元。</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ind w:firstLine="640" w:firstLineChars="200"/>
        <w:rPr>
          <w:rFonts w:hint="eastAsia" w:ascii="楷体" w:hAnsi="楷体" w:eastAsia="楷体" w:cs="楷体"/>
          <w:color w:val="000000"/>
          <w:sz w:val="32"/>
          <w:szCs w:val="32"/>
          <w:highlight w:val="none"/>
        </w:rPr>
      </w:pPr>
      <w:r>
        <w:rPr>
          <w:rFonts w:hint="eastAsia" w:ascii="仿宋_GB2312" w:hAnsi="ˎ̥" w:eastAsia="仿宋_GB2312"/>
          <w:sz w:val="32"/>
          <w:szCs w:val="32"/>
          <w:lang w:eastAsia="zh-CN"/>
        </w:rPr>
        <w:t>2022年</w:t>
      </w:r>
      <w:r>
        <w:rPr>
          <w:rFonts w:hint="eastAsia" w:ascii="仿宋_GB2312" w:hAnsi="ˎ̥" w:eastAsia="仿宋_GB2312"/>
          <w:sz w:val="32"/>
          <w:szCs w:val="32"/>
        </w:rPr>
        <w:t>度国有资本经营预算财政拨款支出0万元，与</w:t>
      </w:r>
      <w:r>
        <w:rPr>
          <w:rFonts w:hint="eastAsia" w:ascii="仿宋_GB2312" w:hAnsi="ˎ̥" w:eastAsia="仿宋_GB2312"/>
          <w:sz w:val="32"/>
          <w:szCs w:val="32"/>
          <w:lang w:eastAsia="zh-CN"/>
        </w:rPr>
        <w:t>2021年</w:t>
      </w:r>
      <w:r>
        <w:rPr>
          <w:rFonts w:hint="eastAsia" w:ascii="仿宋_GB2312" w:hAnsi="ˎ̥" w:eastAsia="仿宋_GB2312"/>
          <w:sz w:val="32"/>
          <w:szCs w:val="32"/>
        </w:rPr>
        <w:t>度持平。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度国有资本经营预算财政拨款支出0万元。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度国有资本经营预算财政拨款支出年初预算为0万元，支出决算为0万元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ind w:firstLine="640" w:firstLineChars="200"/>
        <w:rPr>
          <w:rFonts w:hint="eastAsia" w:ascii="仿宋_GB2312" w:hAnsi="ˎ̥" w:eastAsia="仿宋_GB2312" w:cs="Times New Roman"/>
          <w:sz w:val="32"/>
          <w:szCs w:val="32"/>
        </w:rPr>
      </w:pPr>
      <w:r>
        <w:rPr>
          <w:rFonts w:hint="eastAsia" w:ascii="楷体" w:hAnsi="楷体" w:eastAsia="楷体" w:cs="楷体"/>
          <w:color w:val="000000"/>
          <w:sz w:val="32"/>
          <w:szCs w:val="32"/>
          <w:highlight w:val="none"/>
        </w:rPr>
        <w:t>（一）一般公共预算财政拨款“三公”经费支出决算总体情况说明。</w:t>
      </w:r>
    </w:p>
    <w:p>
      <w:pPr>
        <w:rPr>
          <w:rFonts w:hint="eastAsia" w:ascii="仿宋_GB2312" w:hAnsi="ˎ̥" w:eastAsia="仿宋_GB2312" w:cs="Times New Roman"/>
          <w:sz w:val="32"/>
          <w:szCs w:val="32"/>
        </w:rPr>
      </w:pPr>
      <w:r>
        <w:rPr>
          <w:rFonts w:hint="eastAsia" w:ascii="仿宋_GB2312" w:hAnsi="ˎ̥" w:eastAsia="仿宋_GB2312" w:cs="Times New Roman"/>
          <w:sz w:val="32"/>
          <w:szCs w:val="32"/>
        </w:rPr>
        <w:t xml:space="preserve">    </w:t>
      </w:r>
      <w:r>
        <w:rPr>
          <w:rFonts w:hint="eastAsia" w:ascii="仿宋_GB2312" w:hAnsi="ˎ̥" w:eastAsia="仿宋_GB2312" w:cs="Times New Roman"/>
          <w:sz w:val="32"/>
          <w:szCs w:val="32"/>
          <w:lang w:eastAsia="zh-CN"/>
        </w:rPr>
        <w:t>2022年</w:t>
      </w:r>
      <w:r>
        <w:rPr>
          <w:rFonts w:hint="eastAsia" w:ascii="仿宋_GB2312" w:hAnsi="ˎ̥" w:eastAsia="仿宋_GB2312" w:cs="Times New Roman"/>
          <w:sz w:val="32"/>
          <w:szCs w:val="32"/>
        </w:rPr>
        <w:t>度一般公共预算财政拨款“三公”经费支出预算为11</w:t>
      </w:r>
      <w:r>
        <w:rPr>
          <w:rFonts w:hint="eastAsia" w:ascii="仿宋_GB2312" w:hAnsi="ˎ̥" w:eastAsia="仿宋_GB2312" w:cs="Times New Roman"/>
          <w:sz w:val="32"/>
          <w:szCs w:val="32"/>
          <w:lang w:val="en-US" w:eastAsia="zh-CN"/>
        </w:rPr>
        <w:t>8</w:t>
      </w:r>
      <w:r>
        <w:rPr>
          <w:rFonts w:hint="eastAsia" w:ascii="仿宋_GB2312" w:hAnsi="ˎ̥" w:eastAsia="仿宋_GB2312" w:cs="Times New Roman"/>
          <w:sz w:val="32"/>
          <w:szCs w:val="32"/>
        </w:rPr>
        <w:t>万元，支出决算为</w:t>
      </w:r>
      <w:r>
        <w:rPr>
          <w:rFonts w:hint="eastAsia" w:ascii="仿宋_GB2312" w:hAnsi="ˎ̥" w:eastAsia="仿宋_GB2312" w:cs="Times New Roman"/>
          <w:sz w:val="32"/>
          <w:szCs w:val="32"/>
          <w:lang w:val="en-US" w:eastAsia="zh-CN"/>
        </w:rPr>
        <w:t>36.18</w:t>
      </w:r>
      <w:r>
        <w:rPr>
          <w:rFonts w:hint="eastAsia" w:ascii="仿宋_GB2312" w:hAnsi="ˎ̥" w:eastAsia="仿宋_GB2312" w:cs="Times New Roman"/>
          <w:sz w:val="32"/>
          <w:szCs w:val="32"/>
        </w:rPr>
        <w:t>万元，完成预算的</w:t>
      </w:r>
      <w:r>
        <w:rPr>
          <w:rFonts w:hint="eastAsia" w:ascii="仿宋_GB2312" w:hAnsi="ˎ̥" w:eastAsia="仿宋_GB2312" w:cs="Times New Roman"/>
          <w:sz w:val="32"/>
          <w:szCs w:val="32"/>
          <w:lang w:val="en-US" w:eastAsia="zh-CN"/>
        </w:rPr>
        <w:t>30.66</w:t>
      </w:r>
      <w:r>
        <w:rPr>
          <w:rFonts w:hint="eastAsia" w:ascii="仿宋_GB2312" w:hAnsi="ˎ̥" w:eastAsia="仿宋_GB2312" w:cs="Times New Roman"/>
          <w:sz w:val="32"/>
          <w:szCs w:val="32"/>
        </w:rPr>
        <w:t>%。</w:t>
      </w:r>
    </w:p>
    <w:p>
      <w:pPr>
        <w:rPr>
          <w:rFonts w:hint="eastAsia" w:ascii="仿宋_GB2312" w:hAnsi="ˎ̥" w:eastAsia="仿宋_GB2312" w:cs="Times New Roman"/>
          <w:sz w:val="32"/>
          <w:szCs w:val="32"/>
        </w:rPr>
      </w:pPr>
      <w:r>
        <w:rPr>
          <w:rFonts w:hint="eastAsia" w:ascii="仿宋_GB2312" w:hAnsi="ˎ̥" w:eastAsia="仿宋_GB2312" w:cs="Times New Roman"/>
          <w:sz w:val="32"/>
          <w:szCs w:val="32"/>
        </w:rPr>
        <w:t xml:space="preserve">   </w:t>
      </w:r>
      <w:r>
        <w:rPr>
          <w:rFonts w:hint="eastAsia" w:ascii="楷体" w:hAnsi="楷体" w:eastAsia="楷体" w:cs="楷体"/>
          <w:color w:val="000000"/>
          <w:sz w:val="32"/>
          <w:szCs w:val="32"/>
          <w:highlight w:val="none"/>
        </w:rPr>
        <w:t xml:space="preserve"> （二）一般公共预算财政拨款“三公”经费支出决算具体情况说明。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度一般公共预算财政拨款“三公”经费支出决算中，因公出国（境）费支出决算0万元，；公务用车购置及运行维护费支出决算</w:t>
      </w:r>
      <w:r>
        <w:rPr>
          <w:rFonts w:hint="eastAsia" w:ascii="仿宋_GB2312" w:hAnsi="ˎ̥" w:eastAsia="仿宋_GB2312"/>
          <w:sz w:val="32"/>
          <w:szCs w:val="32"/>
          <w:lang w:val="en-US" w:eastAsia="zh-CN"/>
        </w:rPr>
        <w:t>36.12</w:t>
      </w:r>
      <w:r>
        <w:rPr>
          <w:rFonts w:hint="eastAsia" w:ascii="仿宋_GB2312" w:hAnsi="ˎ̥" w:eastAsia="仿宋_GB2312"/>
          <w:sz w:val="32"/>
          <w:szCs w:val="32"/>
        </w:rPr>
        <w:t>万元，占</w:t>
      </w:r>
      <w:r>
        <w:rPr>
          <w:rFonts w:hint="eastAsia" w:ascii="仿宋_GB2312" w:hAnsi="ˎ̥" w:eastAsia="仿宋_GB2312"/>
          <w:sz w:val="32"/>
          <w:szCs w:val="32"/>
          <w:lang w:val="en-US" w:eastAsia="zh-CN"/>
        </w:rPr>
        <w:t>99.83</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0.06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占</w:t>
      </w:r>
      <w:r>
        <w:rPr>
          <w:rFonts w:hint="eastAsia" w:ascii="仿宋_GB2312" w:hAnsi="ˎ̥" w:eastAsia="仿宋_GB2312"/>
          <w:sz w:val="32"/>
          <w:szCs w:val="32"/>
          <w:lang w:val="en-US" w:eastAsia="zh-CN"/>
        </w:rPr>
        <w:t>0.17</w:t>
      </w:r>
      <w:r>
        <w:rPr>
          <w:rFonts w:hint="eastAsia" w:ascii="仿宋_GB2312" w:hAnsi="ˎ̥" w:eastAsia="仿宋_GB2312"/>
          <w:sz w:val="32"/>
          <w:szCs w:val="32"/>
        </w:rPr>
        <w:t>%。具体情况如下：</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rPr>
        <w:t>1.因公出国（境）费支出0万元。</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lang w:val="en-US" w:eastAsia="zh-CN"/>
        </w:rPr>
        <w:t>2.</w:t>
      </w:r>
      <w:r>
        <w:rPr>
          <w:rFonts w:hint="eastAsia" w:ascii="仿宋_GB2312" w:hAnsi="ˎ̥" w:eastAsia="仿宋_GB2312" w:cs="Times New Roman"/>
          <w:sz w:val="32"/>
          <w:szCs w:val="32"/>
        </w:rPr>
        <w:t>公务用车购置及运行维护费支出</w:t>
      </w:r>
      <w:r>
        <w:rPr>
          <w:rFonts w:hint="eastAsia" w:ascii="仿宋_GB2312" w:hAnsi="ˎ̥" w:eastAsia="仿宋_GB2312" w:cs="Times New Roman"/>
          <w:sz w:val="32"/>
          <w:szCs w:val="32"/>
          <w:lang w:val="en-US" w:eastAsia="zh-CN"/>
        </w:rPr>
        <w:t>36.12</w:t>
      </w:r>
      <w:r>
        <w:rPr>
          <w:rFonts w:hint="eastAsia" w:ascii="仿宋_GB2312" w:hAnsi="ˎ̥" w:eastAsia="仿宋_GB2312" w:cs="Times New Roman"/>
          <w:sz w:val="32"/>
          <w:szCs w:val="32"/>
        </w:rPr>
        <w:t>万元。其中：</w:t>
      </w:r>
    </w:p>
    <w:p>
      <w:pPr>
        <w:rPr>
          <w:rFonts w:hint="eastAsia" w:ascii="仿宋_GB2312" w:hAnsi="ˎ̥" w:eastAsia="仿宋_GB2312" w:cs="Times New Roman"/>
          <w:sz w:val="32"/>
          <w:szCs w:val="32"/>
        </w:rPr>
      </w:pPr>
      <w:r>
        <w:rPr>
          <w:rFonts w:hint="eastAsia" w:ascii="仿宋_GB2312" w:hAnsi="ˎ̥" w:eastAsia="仿宋_GB2312" w:cs="Times New Roman"/>
          <w:sz w:val="32"/>
          <w:szCs w:val="32"/>
        </w:rPr>
        <w:t>公务用车购置支出0万元，年末公务用车保有</w:t>
      </w:r>
      <w:r>
        <w:rPr>
          <w:rFonts w:hint="eastAsia" w:ascii="仿宋_GB2312" w:hAnsi="ˎ̥" w:eastAsia="仿宋_GB2312" w:cs="Times New Roman"/>
          <w:sz w:val="32"/>
          <w:szCs w:val="32"/>
          <w:lang w:val="en-US" w:eastAsia="zh-CN"/>
        </w:rPr>
        <w:t>15</w:t>
      </w:r>
      <w:r>
        <w:rPr>
          <w:rFonts w:hint="eastAsia" w:ascii="仿宋_GB2312" w:hAnsi="ˎ̥" w:eastAsia="仿宋_GB2312" w:cs="Times New Roman"/>
          <w:sz w:val="32"/>
          <w:szCs w:val="32"/>
        </w:rPr>
        <w:t>辆。</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rPr>
        <w:t>公务用车运行维护费支出</w:t>
      </w:r>
      <w:r>
        <w:rPr>
          <w:rFonts w:hint="eastAsia" w:ascii="仿宋_GB2312" w:hAnsi="ˎ̥" w:eastAsia="仿宋_GB2312" w:cs="Times New Roman"/>
          <w:sz w:val="32"/>
          <w:szCs w:val="32"/>
          <w:lang w:val="en-US" w:eastAsia="zh-CN"/>
        </w:rPr>
        <w:t>36.12</w:t>
      </w:r>
      <w:r>
        <w:rPr>
          <w:rFonts w:hint="eastAsia" w:ascii="仿宋_GB2312" w:hAnsi="ˎ̥" w:eastAsia="仿宋_GB2312" w:cs="Times New Roman"/>
          <w:sz w:val="32"/>
          <w:szCs w:val="32"/>
        </w:rPr>
        <w:t>万元，主要用于支付公务车辆保险、年检、维修维护及油料费等公务用车运维费。</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rPr>
        <w:t>公务用车购置及运行费支出决算数比预算数减少</w:t>
      </w:r>
      <w:r>
        <w:rPr>
          <w:rFonts w:hint="eastAsia" w:ascii="仿宋_GB2312" w:hAnsi="ˎ̥" w:eastAsia="仿宋_GB2312" w:cs="Times New Roman"/>
          <w:sz w:val="32"/>
          <w:szCs w:val="32"/>
          <w:lang w:val="en-US" w:eastAsia="zh-CN"/>
        </w:rPr>
        <w:t>61.88</w:t>
      </w:r>
      <w:r>
        <w:rPr>
          <w:rFonts w:hint="eastAsia" w:ascii="仿宋_GB2312" w:hAnsi="ˎ̥" w:eastAsia="仿宋_GB2312" w:cs="Times New Roman"/>
          <w:sz w:val="32"/>
          <w:szCs w:val="32"/>
        </w:rPr>
        <w:t>万元，下降</w:t>
      </w:r>
      <w:r>
        <w:rPr>
          <w:rFonts w:hint="eastAsia" w:ascii="仿宋_GB2312" w:hAnsi="ˎ̥" w:eastAsia="仿宋_GB2312" w:cs="Times New Roman"/>
          <w:sz w:val="32"/>
          <w:szCs w:val="32"/>
          <w:lang w:val="en-US" w:eastAsia="zh-CN"/>
        </w:rPr>
        <w:t>63.14</w:t>
      </w:r>
      <w:r>
        <w:rPr>
          <w:rFonts w:hint="eastAsia" w:ascii="仿宋_GB2312" w:hAnsi="ˎ̥" w:eastAsia="仿宋_GB2312" w:cs="Times New Roman"/>
          <w:sz w:val="32"/>
          <w:szCs w:val="32"/>
        </w:rPr>
        <w:t>%。主要原因是贯彻厉行节约政策，减少不必要的公车费用支出。</w:t>
      </w:r>
    </w:p>
    <w:p>
      <w:pPr>
        <w:ind w:firstLine="640" w:firstLineChars="200"/>
        <w:rPr>
          <w:rFonts w:hint="eastAsia" w:ascii="仿宋_GB2312" w:hAnsi="ˎ̥" w:eastAsia="仿宋_GB2312" w:cs="Times New Roman"/>
          <w:sz w:val="32"/>
          <w:szCs w:val="32"/>
        </w:rPr>
      </w:pPr>
      <w:r>
        <w:rPr>
          <w:rFonts w:hint="eastAsia" w:ascii="仿宋_GB2312" w:hAnsi="ˎ̥" w:eastAsia="仿宋_GB2312" w:cs="Times New Roman"/>
          <w:sz w:val="32"/>
          <w:szCs w:val="32"/>
        </w:rPr>
        <w:t>3.公务接待费支出0</w:t>
      </w:r>
      <w:r>
        <w:rPr>
          <w:rFonts w:hint="eastAsia" w:ascii="仿宋_GB2312" w:hAnsi="ˎ̥" w:eastAsia="仿宋_GB2312" w:cs="Times New Roman"/>
          <w:sz w:val="32"/>
          <w:szCs w:val="32"/>
          <w:lang w:val="en-US" w:eastAsia="zh-CN"/>
        </w:rPr>
        <w:t>.06</w:t>
      </w:r>
      <w:r>
        <w:rPr>
          <w:rFonts w:hint="eastAsia" w:ascii="仿宋_GB2312" w:hAnsi="ˎ̥" w:eastAsia="仿宋_GB2312" w:cs="Times New Roman"/>
          <w:sz w:val="32"/>
          <w:szCs w:val="32"/>
        </w:rPr>
        <w:t>万元，公务接待费支出决算数比预算数减少</w:t>
      </w:r>
      <w:r>
        <w:rPr>
          <w:rFonts w:hint="eastAsia" w:ascii="仿宋_GB2312" w:hAnsi="ˎ̥" w:eastAsia="仿宋_GB2312" w:cs="Times New Roman"/>
          <w:sz w:val="32"/>
          <w:szCs w:val="32"/>
          <w:lang w:val="en-US" w:eastAsia="zh-CN"/>
        </w:rPr>
        <w:t>9.94</w:t>
      </w:r>
      <w:r>
        <w:rPr>
          <w:rFonts w:hint="eastAsia" w:ascii="仿宋_GB2312" w:hAnsi="ˎ̥" w:eastAsia="仿宋_GB2312" w:cs="Times New Roman"/>
          <w:sz w:val="32"/>
          <w:szCs w:val="32"/>
        </w:rPr>
        <w:t>万元，下降</w:t>
      </w:r>
      <w:r>
        <w:rPr>
          <w:rFonts w:hint="eastAsia" w:ascii="仿宋_GB2312" w:hAnsi="ˎ̥" w:eastAsia="仿宋_GB2312" w:cs="Times New Roman"/>
          <w:sz w:val="32"/>
          <w:szCs w:val="32"/>
          <w:lang w:val="en-US" w:eastAsia="zh-CN"/>
        </w:rPr>
        <w:t>99.4</w:t>
      </w:r>
      <w:r>
        <w:rPr>
          <w:rFonts w:hint="eastAsia" w:ascii="仿宋_GB2312" w:hAnsi="ˎ̥" w:eastAsia="仿宋_GB2312" w:cs="Times New Roman"/>
          <w:sz w:val="32"/>
          <w:szCs w:val="32"/>
        </w:rPr>
        <w:t>%，主要原因是受疫情防控影响，公务接待减少。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lang w:eastAsia="zh-CN"/>
        </w:rPr>
        <w:t>（一）</w:t>
      </w:r>
      <w:r>
        <w:rPr>
          <w:rFonts w:hint="eastAsia" w:ascii="楷体" w:hAnsi="楷体" w:eastAsia="楷体" w:cs="楷体"/>
          <w:color w:val="000000"/>
          <w:sz w:val="32"/>
          <w:szCs w:val="32"/>
          <w:highlight w:val="none"/>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根据财政预算</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管理要求，</w:t>
      </w:r>
      <w:r>
        <w:rPr>
          <w:rFonts w:hint="eastAsia" w:ascii="仿宋_GB2312" w:eastAsia="仿宋_GB2312"/>
          <w:color w:val="000000"/>
          <w:sz w:val="32"/>
          <w:szCs w:val="32"/>
          <w:highlight w:val="none"/>
          <w:lang w:eastAsia="zh-CN"/>
        </w:rPr>
        <w:t>可</w:t>
      </w:r>
      <w:r>
        <w:rPr>
          <w:rFonts w:hint="eastAsia" w:ascii="仿宋_GB2312" w:eastAsia="仿宋_GB2312"/>
          <w:color w:val="000000"/>
          <w:sz w:val="32"/>
          <w:szCs w:val="32"/>
          <w:highlight w:val="none"/>
        </w:rPr>
        <w:t>按照如下格式说明：根据预算管理要求，我部门（单位）组织对</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年度</w:t>
      </w:r>
      <w:r>
        <w:rPr>
          <w:rFonts w:hint="eastAsia" w:ascii="仿宋_GB2312" w:eastAsia="仿宋_GB2312"/>
          <w:color w:val="000000"/>
          <w:sz w:val="32"/>
          <w:szCs w:val="32"/>
          <w:highlight w:val="none"/>
        </w:rPr>
        <w:t>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w:t>
      </w:r>
      <w:r>
        <w:rPr>
          <w:rFonts w:hint="eastAsia" w:ascii="仿宋_GB2312" w:eastAsia="仿宋_GB2312" w:cs="Times New Roman"/>
          <w:color w:val="000000"/>
          <w:kern w:val="2"/>
          <w:sz w:val="32"/>
          <w:szCs w:val="32"/>
          <w:highlight w:val="none"/>
          <w:lang w:val="en-US" w:eastAsia="zh-CN" w:bidi="ar"/>
        </w:rPr>
        <w:t>4</w:t>
      </w:r>
      <w:r>
        <w:rPr>
          <w:rFonts w:hint="eastAsia" w:ascii="仿宋_GB2312" w:hAnsi="Times New Roman" w:eastAsia="仿宋_GB2312" w:cs="Times New Roman"/>
          <w:color w:val="000000"/>
          <w:kern w:val="2"/>
          <w:sz w:val="32"/>
          <w:szCs w:val="32"/>
          <w:highlight w:val="none"/>
          <w:lang w:val="en-US" w:eastAsia="zh-CN" w:bidi="ar"/>
        </w:rPr>
        <w:t>个，共涉及资金</w:t>
      </w:r>
      <w:r>
        <w:rPr>
          <w:rFonts w:hint="eastAsia" w:ascii="仿宋_GB2312" w:eastAsia="仿宋_GB2312" w:cs="Times New Roman"/>
          <w:color w:val="000000"/>
          <w:kern w:val="2"/>
          <w:sz w:val="32"/>
          <w:szCs w:val="32"/>
          <w:highlight w:val="none"/>
          <w:lang w:val="en-US" w:eastAsia="zh-CN" w:bidi="ar"/>
        </w:rPr>
        <w:t>1853.33</w:t>
      </w:r>
      <w:r>
        <w:rPr>
          <w:rFonts w:hint="eastAsia" w:ascii="仿宋_GB2312" w:hAnsi="Times New Roman" w:eastAsia="仿宋_GB2312" w:cs="Times New Roman"/>
          <w:color w:val="000000"/>
          <w:kern w:val="2"/>
          <w:sz w:val="32"/>
          <w:szCs w:val="32"/>
          <w:highlight w:val="none"/>
          <w:lang w:val="en-US" w:eastAsia="zh-CN" w:bidi="ar"/>
        </w:rPr>
        <w:t>万元，占一般公共预算项目支出总额的</w:t>
      </w:r>
      <w:r>
        <w:rPr>
          <w:rFonts w:hint="eastAsia" w:ascii="仿宋_GB2312" w:eastAsia="仿宋_GB2312" w:cs="Times New Roman"/>
          <w:color w:val="000000"/>
          <w:kern w:val="2"/>
          <w:sz w:val="32"/>
          <w:szCs w:val="32"/>
          <w:highlight w:val="none"/>
          <w:lang w:val="en-US" w:eastAsia="zh-CN" w:bidi="ar"/>
        </w:rPr>
        <w:t>16.7</w:t>
      </w:r>
      <w:r>
        <w:rPr>
          <w:rFonts w:hint="eastAsia" w:ascii="仿宋_GB2312" w:hAnsi="Times New Roman" w:eastAsia="仿宋_GB2312" w:cs="Times New Roman"/>
          <w:color w:val="000000"/>
          <w:kern w:val="2"/>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共组织对“</w:t>
      </w:r>
      <w:r>
        <w:rPr>
          <w:rFonts w:hint="eastAsia" w:ascii="仿宋_GB2312" w:eastAsia="仿宋_GB2312"/>
          <w:color w:val="000000"/>
          <w:sz w:val="32"/>
          <w:szCs w:val="32"/>
          <w:highlight w:val="none"/>
          <w:lang w:eastAsia="zh-CN"/>
        </w:rPr>
        <w:t>行政运行</w:t>
      </w:r>
      <w:r>
        <w:rPr>
          <w:rFonts w:hint="eastAsia" w:ascii="仿宋_GB2312" w:eastAsia="仿宋_GB2312"/>
          <w:color w:val="000000"/>
          <w:sz w:val="32"/>
          <w:szCs w:val="32"/>
          <w:highlight w:val="none"/>
        </w:rPr>
        <w:t>”等</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个项目</w:t>
      </w:r>
      <w:r>
        <w:rPr>
          <w:rFonts w:hint="eastAsia" w:ascii="仿宋_GB2312" w:eastAsia="仿宋_GB2312"/>
          <w:color w:val="000000"/>
          <w:sz w:val="32"/>
          <w:szCs w:val="32"/>
          <w:highlight w:val="none"/>
          <w:lang w:eastAsia="zh-CN"/>
        </w:rPr>
        <w:t>开展了部门</w:t>
      </w:r>
      <w:r>
        <w:rPr>
          <w:rFonts w:hint="eastAsia" w:ascii="仿宋_GB2312" w:eastAsia="仿宋_GB2312"/>
          <w:color w:val="000000"/>
          <w:sz w:val="32"/>
          <w:szCs w:val="32"/>
          <w:highlight w:val="none"/>
        </w:rPr>
        <w:t>评价，</w:t>
      </w:r>
      <w:r>
        <w:rPr>
          <w:rFonts w:hint="eastAsia" w:ascii="仿宋_GB2312" w:hAnsi="Times New Roman" w:eastAsia="仿宋_GB2312" w:cs="Times New Roman"/>
          <w:color w:val="000000"/>
          <w:kern w:val="2"/>
          <w:sz w:val="32"/>
          <w:szCs w:val="32"/>
          <w:highlight w:val="none"/>
          <w:lang w:val="en-US" w:eastAsia="zh-CN" w:bidi="ar"/>
        </w:rPr>
        <w:t>涉及一般公共预算支出</w:t>
      </w:r>
      <w:r>
        <w:rPr>
          <w:rFonts w:hint="eastAsia" w:ascii="仿宋_GB2312" w:eastAsia="仿宋_GB2312" w:cs="Times New Roman"/>
          <w:color w:val="000000"/>
          <w:kern w:val="2"/>
          <w:sz w:val="32"/>
          <w:szCs w:val="32"/>
          <w:highlight w:val="none"/>
          <w:lang w:val="en-US" w:eastAsia="zh-CN" w:bidi="ar"/>
        </w:rPr>
        <w:t>1853.33</w:t>
      </w:r>
      <w:r>
        <w:rPr>
          <w:rFonts w:hint="eastAsia" w:ascii="仿宋_GB2312" w:hAnsi="Times New Roman" w:eastAsia="仿宋_GB2312" w:cs="Times New Roman"/>
          <w:color w:val="000000"/>
          <w:kern w:val="2"/>
          <w:sz w:val="32"/>
          <w:szCs w:val="32"/>
          <w:highlight w:val="none"/>
          <w:lang w:val="en-US" w:eastAsia="zh-CN" w:bidi="ar"/>
        </w:rPr>
        <w:t>万元</w:t>
      </w:r>
      <w:r>
        <w:rPr>
          <w:rFonts w:hint="eastAsia" w:ascii="仿宋_GB2312" w:eastAsia="仿宋_GB2312" w:cs="Times New Roman"/>
          <w:color w:val="000000"/>
          <w:kern w:val="2"/>
          <w:sz w:val="32"/>
          <w:szCs w:val="32"/>
          <w:highlight w:val="none"/>
          <w:lang w:val="en-US" w:eastAsia="zh-CN" w:bidi="ar"/>
        </w:rPr>
        <w:t>。</w:t>
      </w:r>
      <w:r>
        <w:rPr>
          <w:rFonts w:hint="eastAsia" w:ascii="仿宋_GB2312" w:eastAsia="仿宋_GB2312"/>
          <w:color w:val="000000"/>
          <w:sz w:val="32"/>
          <w:szCs w:val="32"/>
          <w:highlight w:val="none"/>
        </w:rPr>
        <w:t>从评价情况来看，</w:t>
      </w:r>
      <w:r>
        <w:rPr>
          <w:rFonts w:hint="eastAsia" w:ascii="仿宋_GB2312" w:eastAsia="仿宋_GB2312"/>
          <w:color w:val="000000"/>
          <w:sz w:val="32"/>
          <w:szCs w:val="32"/>
          <w:highlight w:val="none"/>
          <w:lang w:val="en-US" w:eastAsia="zh-CN"/>
        </w:rPr>
        <w:t>4个项目均达到预定的绩效目标。</w:t>
      </w:r>
    </w:p>
    <w:p>
      <w:pPr>
        <w:ind w:firstLine="640" w:firstLineChars="200"/>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lang w:eastAsia="zh-CN"/>
        </w:rPr>
        <w:t>（二）</w:t>
      </w:r>
      <w:r>
        <w:rPr>
          <w:rFonts w:hint="eastAsia" w:ascii="楷体" w:hAnsi="楷体" w:eastAsia="楷体" w:cs="楷体"/>
          <w:color w:val="000000"/>
          <w:sz w:val="32"/>
          <w:szCs w:val="32"/>
          <w:highlight w:val="none"/>
        </w:rPr>
        <w:t>部门决算中项目绩效自评结果</w:t>
      </w:r>
      <w:r>
        <w:rPr>
          <w:rFonts w:hint="eastAsia" w:ascii="楷体" w:hAnsi="楷体" w:eastAsia="楷体" w:cs="楷体"/>
          <w:color w:val="000000"/>
          <w:sz w:val="32"/>
          <w:szCs w:val="32"/>
          <w:highlight w:val="none"/>
          <w:lang w:eastAsia="zh-CN"/>
        </w:rPr>
        <w:t>（预算部门、单位可根据实际情况反映重点项目绩效自评结果）</w:t>
      </w:r>
      <w:r>
        <w:rPr>
          <w:rFonts w:hint="eastAsia" w:ascii="楷体" w:hAnsi="楷体" w:eastAsia="楷体" w:cs="楷体"/>
          <w:color w:val="000000"/>
          <w:sz w:val="32"/>
          <w:szCs w:val="32"/>
          <w:highlight w:val="none"/>
        </w:rPr>
        <w:t>。</w:t>
      </w:r>
    </w:p>
    <w:p>
      <w:pPr>
        <w:pStyle w:val="10"/>
        <w:ind w:left="0" w:leftChars="0" w:firstLine="640" w:firstLineChars="200"/>
        <w:jc w:val="both"/>
        <w:rPr>
          <w:rFonts w:hint="default"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1.两庭及装备更新维护项目自评表：</w:t>
      </w:r>
    </w:p>
    <w:p>
      <w:pPr>
        <w:pStyle w:val="10"/>
        <w:ind w:firstLine="600"/>
        <w:jc w:val="center"/>
        <w:rPr>
          <w:rFonts w:ascii="宋体" w:hAnsi="宋体" w:eastAsia="宋体"/>
          <w:b/>
          <w:bCs/>
          <w:color w:val="000000"/>
          <w:sz w:val="44"/>
        </w:rPr>
      </w:pPr>
      <w:r>
        <w:rPr>
          <w:rFonts w:hint="eastAsia" w:ascii="仿宋_GB2312" w:eastAsia="仿宋_GB2312"/>
          <w:color w:val="000000"/>
          <w:sz w:val="32"/>
          <w:szCs w:val="32"/>
          <w:highlight w:val="none"/>
          <w:lang w:val="en-US" w:eastAsia="zh-CN"/>
        </w:rPr>
        <w:t>案件审判项目</w:t>
      </w:r>
      <w:r>
        <w:rPr>
          <w:rFonts w:hint="eastAsia" w:ascii="宋体" w:hAnsi="宋体" w:eastAsia="宋体" w:cs="宋体"/>
          <w:bCs/>
          <w:sz w:val="30"/>
          <w:szCs w:val="30"/>
        </w:rPr>
        <w:t>绩效评价结果</w:t>
      </w:r>
    </w:p>
    <w:tbl>
      <w:tblPr>
        <w:tblStyle w:val="5"/>
        <w:tblW w:w="8618" w:type="dxa"/>
        <w:tblInd w:w="96"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462"/>
        <w:gridCol w:w="3078"/>
        <w:gridCol w:w="3078"/>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single" w:color="000000" w:sz="12"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评价内容</w:t>
            </w:r>
          </w:p>
        </w:tc>
        <w:tc>
          <w:tcPr>
            <w:tcW w:w="3078" w:type="dxa"/>
            <w:tcBorders>
              <w:top w:val="single" w:color="000000" w:sz="12"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分值</w:t>
            </w:r>
          </w:p>
        </w:tc>
        <w:tc>
          <w:tcPr>
            <w:tcW w:w="3078" w:type="dxa"/>
            <w:tcBorders>
              <w:top w:val="single" w:color="000000" w:sz="12"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绩效得分</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决策</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21</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sz w:val="22"/>
                <w:szCs w:val="20"/>
              </w:rPr>
              <w:t>16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过程</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19</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sz w:val="22"/>
                <w:szCs w:val="20"/>
              </w:rPr>
              <w:t>18.35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产出</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30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sz w:val="22"/>
                <w:szCs w:val="20"/>
              </w:rPr>
              <w:t>24.94</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效益</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30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sz w:val="22"/>
                <w:szCs w:val="20"/>
              </w:rPr>
              <w:t>30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合  计</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100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sz w:val="22"/>
                <w:szCs w:val="20"/>
              </w:rPr>
              <w:t>89.29</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single" w:color="000000" w:sz="12"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绩效评级</w:t>
            </w:r>
          </w:p>
        </w:tc>
        <w:tc>
          <w:tcPr>
            <w:tcW w:w="6156" w:type="dxa"/>
            <w:gridSpan w:val="2"/>
            <w:tcBorders>
              <w:top w:val="dotted" w:color="auto" w:sz="4" w:space="0"/>
              <w:left w:val="dotted" w:color="auto" w:sz="4" w:space="0"/>
              <w:bottom w:val="single" w:color="000000" w:sz="12"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良</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color w:val="000000"/>
          <w:sz w:val="32"/>
          <w:szCs w:val="32"/>
          <w:highlight w:val="none"/>
          <w:lang w:eastAsia="zh-CN"/>
        </w:rPr>
        <w:t>案件审判项目绩效自评报告：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89.29</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100%。</w:t>
      </w:r>
      <w:r>
        <w:rPr>
          <w:rFonts w:hint="eastAsia" w:ascii="仿宋_GB2312" w:eastAsia="仿宋_GB2312"/>
          <w:sz w:val="32"/>
          <w:szCs w:val="32"/>
        </w:rPr>
        <w:t>项目绩效目标完成情况：一是已经足月发放雇员工资；二是</w:t>
      </w:r>
      <w:r>
        <w:rPr>
          <w:rFonts w:hint="eastAsia" w:ascii="仿宋_GB2312" w:eastAsia="仿宋_GB2312"/>
          <w:sz w:val="32"/>
          <w:szCs w:val="32"/>
          <w:lang w:val="en-US" w:eastAsia="zh-CN"/>
        </w:rPr>
        <w:t>2022年单位结案率为75.03%</w:t>
      </w:r>
      <w:r>
        <w:rPr>
          <w:rFonts w:hint="eastAsia" w:ascii="仿宋_GB2312" w:eastAsia="仿宋_GB2312"/>
          <w:sz w:val="32"/>
          <w:szCs w:val="32"/>
        </w:rPr>
        <w:t>，已达到目标。</w:t>
      </w:r>
      <w:r>
        <w:rPr>
          <w:rFonts w:hint="eastAsia" w:ascii="仿宋_GB2312" w:eastAsia="仿宋_GB2312"/>
          <w:color w:val="000000"/>
          <w:sz w:val="32"/>
          <w:szCs w:val="32"/>
          <w:highlight w:val="none"/>
          <w:lang w:val="en-US" w:eastAsia="zh-CN"/>
        </w:rPr>
        <w:t>发现的主要问题及原因：一是</w:t>
      </w:r>
      <w:r>
        <w:rPr>
          <w:rFonts w:hint="eastAsia" w:ascii="仿宋_GB2312" w:eastAsia="仿宋_GB2312"/>
          <w:sz w:val="32"/>
          <w:szCs w:val="32"/>
        </w:rPr>
        <w:t>在编制预算时，</w:t>
      </w:r>
      <w:r>
        <w:rPr>
          <w:rFonts w:hint="eastAsia" w:ascii="仿宋_GB2312" w:hAnsi="宋体" w:eastAsia="仿宋_GB2312" w:cs="宋体"/>
          <w:color w:val="000000"/>
          <w:kern w:val="0"/>
          <w:sz w:val="32"/>
          <w:szCs w:val="32"/>
        </w:rPr>
        <w:t>中长期规划不足，未制定中长期规划，仅在每年预算时列入预算大本，缺乏中长期的规划</w:t>
      </w:r>
      <w:r>
        <w:rPr>
          <w:rFonts w:hint="eastAsia" w:ascii="仿宋_GB2312" w:eastAsia="仿宋_GB2312"/>
          <w:color w:val="000000"/>
          <w:sz w:val="32"/>
          <w:szCs w:val="32"/>
          <w:highlight w:val="none"/>
          <w:lang w:val="en-US" w:eastAsia="zh-CN"/>
        </w:rPr>
        <w:t>；二是</w:t>
      </w:r>
      <w:r>
        <w:rPr>
          <w:rFonts w:hint="eastAsia" w:ascii="仿宋_GB2312" w:eastAsia="仿宋_GB2312"/>
          <w:sz w:val="32"/>
          <w:szCs w:val="32"/>
        </w:rPr>
        <w:t>有年度资金调整，原因是原有支出</w:t>
      </w:r>
      <w:r>
        <w:rPr>
          <w:rFonts w:hint="eastAsia" w:ascii="仿宋_GB2312" w:hAnsi="Times New Roman" w:eastAsia="仿宋_GB2312" w:cs="Times New Roman"/>
          <w:sz w:val="32"/>
          <w:szCs w:val="32"/>
        </w:rPr>
        <w:t>项目</w:t>
      </w:r>
      <w:r>
        <w:rPr>
          <w:rFonts w:hint="eastAsia" w:ascii="仿宋_GB2312" w:eastAsia="仿宋_GB2312"/>
          <w:sz w:val="32"/>
          <w:szCs w:val="32"/>
        </w:rPr>
        <w:t>实际执行中无支出</w:t>
      </w:r>
      <w:r>
        <w:rPr>
          <w:rFonts w:hint="eastAsia" w:ascii="仿宋_GB2312" w:eastAsia="仿宋_GB2312"/>
          <w:color w:val="000000"/>
          <w:sz w:val="32"/>
          <w:szCs w:val="32"/>
          <w:highlight w:val="none"/>
          <w:lang w:val="en-US" w:eastAsia="zh-CN"/>
        </w:rPr>
        <w:t>。下一步改进措施：</w:t>
      </w:r>
      <w:r>
        <w:rPr>
          <w:rFonts w:hint="eastAsia" w:ascii="仿宋_GB2312" w:eastAsia="仿宋_GB2312"/>
          <w:sz w:val="32"/>
          <w:szCs w:val="32"/>
        </w:rPr>
        <w:t>优化预算编制方法，合理安排项目资金，使预算更精准</w:t>
      </w:r>
      <w:r>
        <w:rPr>
          <w:rFonts w:hint="eastAsia" w:ascii="仿宋_GB2312" w:hAnsi="Times New Roman" w:eastAsia="仿宋_GB2312" w:cs="Times New Roman"/>
          <w:sz w:val="32"/>
          <w:szCs w:val="32"/>
        </w:rPr>
        <w:t>贴合实际。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2.两庭及装备更新维护</w:t>
      </w:r>
      <w:r>
        <w:rPr>
          <w:rFonts w:hint="eastAsia" w:ascii="仿宋_GB2312" w:hAnsi="Times New Roman" w:eastAsia="仿宋_GB2312" w:cs="Times New Roman"/>
          <w:sz w:val="32"/>
          <w:szCs w:val="32"/>
          <w:lang w:eastAsia="zh-CN"/>
        </w:rPr>
        <w:t>项目自评表：</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cs="Times New Roman"/>
          <w:sz w:val="32"/>
          <w:szCs w:val="32"/>
          <w:lang w:val="en-US" w:eastAsia="zh-CN"/>
        </w:rPr>
      </w:pPr>
      <w:bookmarkStart w:id="94" w:name="_Toc16595"/>
      <w:bookmarkStart w:id="95" w:name="_Toc7614"/>
      <w:r>
        <w:rPr>
          <w:rFonts w:hint="eastAsia" w:ascii="仿宋_GB2312" w:hAnsi="Times New Roman" w:eastAsia="仿宋_GB2312" w:cs="Times New Roman"/>
          <w:sz w:val="32"/>
          <w:szCs w:val="32"/>
          <w:lang w:val="en-US" w:eastAsia="zh-CN"/>
        </w:rPr>
        <w:t>两庭及装备更新维护</w:t>
      </w:r>
      <w:r>
        <w:rPr>
          <w:rFonts w:hint="eastAsia" w:ascii="仿宋_GB2312" w:hAnsi="Times New Roman" w:eastAsia="仿宋_GB2312" w:cs="Times New Roman"/>
          <w:sz w:val="32"/>
          <w:szCs w:val="32"/>
          <w:lang w:eastAsia="zh-CN"/>
        </w:rPr>
        <w:t>项目</w:t>
      </w:r>
      <w:r>
        <w:rPr>
          <w:rFonts w:hint="eastAsia" w:ascii="仿宋_GB2312" w:hAnsi="Times New Roman" w:eastAsia="仿宋_GB2312" w:cs="Times New Roman"/>
          <w:sz w:val="32"/>
          <w:szCs w:val="32"/>
          <w:lang w:val="en-US" w:eastAsia="zh-CN"/>
        </w:rPr>
        <w:t>绩效评价结果</w:t>
      </w:r>
      <w:bookmarkEnd w:id="94"/>
      <w:bookmarkEnd w:id="95"/>
    </w:p>
    <w:tbl>
      <w:tblPr>
        <w:tblStyle w:val="5"/>
        <w:tblW w:w="86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2"/>
        <w:gridCol w:w="3078"/>
        <w:gridCol w:w="3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462"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评价内容</w:t>
            </w:r>
          </w:p>
        </w:tc>
        <w:tc>
          <w:tcPr>
            <w:tcW w:w="307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078" w:type="dxa"/>
            <w:tcBorders>
              <w:top w:val="single" w:color="000000" w:sz="12"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绩效得分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决策</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21</w:t>
            </w:r>
          </w:p>
        </w:tc>
        <w:tc>
          <w:tcPr>
            <w:tcW w:w="3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过程 </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19</w:t>
            </w:r>
          </w:p>
        </w:tc>
        <w:tc>
          <w:tcPr>
            <w:tcW w:w="3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产出 </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30</w:t>
            </w:r>
          </w:p>
        </w:tc>
        <w:tc>
          <w:tcPr>
            <w:tcW w:w="3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效益</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30</w:t>
            </w:r>
          </w:p>
        </w:tc>
        <w:tc>
          <w:tcPr>
            <w:tcW w:w="3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62" w:type="dxa"/>
            <w:tcBorders>
              <w:top w:val="single" w:color="000000" w:sz="4" w:space="0"/>
              <w:left w:val="nil"/>
              <w:bottom w:val="single" w:color="000000" w:sz="12"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绩效评级</w:t>
            </w:r>
          </w:p>
        </w:tc>
        <w:tc>
          <w:tcPr>
            <w:tcW w:w="6156" w:type="dxa"/>
            <w:gridSpan w:val="2"/>
            <w:tcBorders>
              <w:top w:val="single" w:color="000000" w:sz="4" w:space="0"/>
              <w:left w:val="single" w:color="000000" w:sz="4" w:space="0"/>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良</w:t>
            </w:r>
          </w:p>
        </w:tc>
      </w:tr>
    </w:tbl>
    <w:p>
      <w:pPr>
        <w:pStyle w:val="10"/>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color w:val="000000"/>
          <w:sz w:val="32"/>
          <w:szCs w:val="32"/>
          <w:highlight w:val="none"/>
          <w:lang w:val="en-US" w:eastAsia="zh-CN"/>
        </w:rPr>
        <w:t>两庭及装备更新维护</w:t>
      </w:r>
      <w:r>
        <w:rPr>
          <w:rFonts w:hint="eastAsia" w:ascii="仿宋_GB2312" w:hAnsi="Times New Roman" w:eastAsia="仿宋_GB2312" w:cs="Times New Roman"/>
          <w:color w:val="000000"/>
          <w:sz w:val="32"/>
          <w:szCs w:val="32"/>
          <w:highlight w:val="none"/>
          <w:lang w:eastAsia="zh-CN"/>
        </w:rPr>
        <w:t>项目绩</w:t>
      </w:r>
      <w:r>
        <w:rPr>
          <w:rFonts w:hint="eastAsia" w:ascii="仿宋_GB2312" w:eastAsia="仿宋_GB2312"/>
          <w:color w:val="000000"/>
          <w:sz w:val="32"/>
          <w:szCs w:val="32"/>
          <w:highlight w:val="none"/>
          <w:lang w:eastAsia="zh-CN"/>
        </w:rPr>
        <w:t>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86.5</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15</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11.65</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77.67%。</w:t>
      </w:r>
      <w:r>
        <w:rPr>
          <w:rFonts w:hint="eastAsia" w:ascii="仿宋_GB2312" w:eastAsia="仿宋_GB2312"/>
          <w:sz w:val="32"/>
          <w:szCs w:val="32"/>
        </w:rPr>
        <w:t>项目绩效目标完成情况：一是庭室等办公环境维修次数已超过三次；二是设备维护后的收益人次已超过2000次。发现的主要问题及原因：支出进度不够均衡，主要原因是维修维护项目的不确定性，有时需要发生了损坏才予以维修。下一步改进措施：做好定期的维修维护，尽量通过定期养护及时发现毁损，尽量使支出进度均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3.行政运行项目</w:t>
      </w:r>
      <w:r>
        <w:rPr>
          <w:rFonts w:hint="eastAsia" w:ascii="仿宋_GB2312" w:hAnsi="Times New Roman" w:eastAsia="仿宋_GB2312" w:cs="Times New Roman"/>
          <w:sz w:val="32"/>
          <w:szCs w:val="32"/>
          <w:lang w:eastAsia="zh-CN"/>
        </w:rPr>
        <w:t>项目自评表</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绩效评价结果</w:t>
      </w:r>
    </w:p>
    <w:tbl>
      <w:tblPr>
        <w:tblStyle w:val="5"/>
        <w:tblW w:w="8618" w:type="dxa"/>
        <w:tblInd w:w="96"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462"/>
        <w:gridCol w:w="3078"/>
        <w:gridCol w:w="3078"/>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single" w:color="000000" w:sz="12"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评价内容</w:t>
            </w:r>
          </w:p>
        </w:tc>
        <w:tc>
          <w:tcPr>
            <w:tcW w:w="3078" w:type="dxa"/>
            <w:tcBorders>
              <w:top w:val="single" w:color="000000" w:sz="12"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分值</w:t>
            </w:r>
          </w:p>
        </w:tc>
        <w:tc>
          <w:tcPr>
            <w:tcW w:w="3078" w:type="dxa"/>
            <w:tcBorders>
              <w:top w:val="single" w:color="000000" w:sz="12" w:space="0"/>
              <w:left w:val="dotted" w:color="auto" w:sz="4" w:space="0"/>
              <w:bottom w:val="dotted" w:color="auto" w:sz="4" w:space="0"/>
            </w:tcBorders>
            <w:vAlign w:val="center"/>
          </w:tcPr>
          <w:p>
            <w:pPr>
              <w:widowControl/>
              <w:ind w:firstLine="0" w:firstLineChars="0"/>
              <w:jc w:val="center"/>
              <w:textAlignment w:val="center"/>
              <w:rPr>
                <w:rFonts w:cs="仿宋" w:asciiTheme="minorEastAsia" w:hAnsiTheme="minorEastAsia" w:eastAsiaTheme="minorEastAsia"/>
                <w:b/>
                <w:bCs/>
                <w:color w:val="000000"/>
                <w:sz w:val="22"/>
                <w:szCs w:val="21"/>
              </w:rPr>
            </w:pPr>
            <w:r>
              <w:rPr>
                <w:rFonts w:hint="eastAsia" w:cs="仿宋" w:asciiTheme="minorEastAsia" w:hAnsiTheme="minorEastAsia" w:eastAsiaTheme="minorEastAsia"/>
                <w:b/>
                <w:bCs/>
                <w:color w:val="000000"/>
                <w:kern w:val="0"/>
                <w:sz w:val="22"/>
                <w:szCs w:val="21"/>
              </w:rPr>
              <w:t>绩效得分</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决策</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21</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15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过程</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19</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18.96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产出</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30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28.93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效益</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30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30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合  计</w:t>
            </w:r>
          </w:p>
        </w:tc>
        <w:tc>
          <w:tcPr>
            <w:tcW w:w="3078" w:type="dxa"/>
            <w:tcBorders>
              <w:top w:val="dotted" w:color="auto" w:sz="4" w:space="0"/>
              <w:left w:val="dotted" w:color="auto" w:sz="4" w:space="0"/>
              <w:bottom w:val="dotted" w:color="auto" w:sz="4"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0"/>
              </w:rPr>
            </w:pPr>
            <w:r>
              <w:rPr>
                <w:rFonts w:hint="eastAsia" w:cs="仿宋" w:asciiTheme="minorEastAsia" w:hAnsiTheme="minorEastAsia" w:eastAsiaTheme="minorEastAsia"/>
                <w:bCs/>
                <w:color w:val="000000"/>
                <w:kern w:val="0"/>
                <w:sz w:val="22"/>
                <w:szCs w:val="20"/>
              </w:rPr>
              <w:t>100</w:t>
            </w:r>
          </w:p>
        </w:tc>
        <w:tc>
          <w:tcPr>
            <w:tcW w:w="3078" w:type="dxa"/>
            <w:tcBorders>
              <w:top w:val="dotted" w:color="auto" w:sz="4" w:space="0"/>
              <w:left w:val="dotted" w:color="auto" w:sz="4" w:space="0"/>
              <w:bottom w:val="dotted" w:color="auto" w:sz="4"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92.89</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62" w:type="dxa"/>
            <w:tcBorders>
              <w:top w:val="dotted" w:color="auto" w:sz="4" w:space="0"/>
              <w:bottom w:val="single" w:color="000000" w:sz="12" w:space="0"/>
              <w:right w:val="dotted" w:color="auto" w:sz="4" w:space="0"/>
            </w:tcBorders>
            <w:vAlign w:val="center"/>
          </w:tcPr>
          <w:p>
            <w:pPr>
              <w:widowControl/>
              <w:ind w:firstLine="0" w:firstLineChars="0"/>
              <w:jc w:val="center"/>
              <w:textAlignment w:val="center"/>
              <w:rPr>
                <w:rFonts w:cs="仿宋" w:asciiTheme="minorEastAsia" w:hAnsiTheme="minorEastAsia" w:eastAsiaTheme="minorEastAsia"/>
                <w:bCs/>
                <w:color w:val="000000"/>
                <w:sz w:val="22"/>
                <w:szCs w:val="21"/>
              </w:rPr>
            </w:pPr>
            <w:r>
              <w:rPr>
                <w:rFonts w:hint="eastAsia" w:cs="仿宋" w:asciiTheme="minorEastAsia" w:hAnsiTheme="minorEastAsia" w:eastAsiaTheme="minorEastAsia"/>
                <w:bCs/>
                <w:color w:val="000000"/>
                <w:kern w:val="0"/>
                <w:sz w:val="22"/>
                <w:szCs w:val="21"/>
              </w:rPr>
              <w:t>绩效评级</w:t>
            </w:r>
          </w:p>
        </w:tc>
        <w:tc>
          <w:tcPr>
            <w:tcW w:w="6156" w:type="dxa"/>
            <w:gridSpan w:val="2"/>
            <w:tcBorders>
              <w:top w:val="dotted" w:color="auto" w:sz="4" w:space="0"/>
              <w:left w:val="dotted" w:color="auto" w:sz="4" w:space="0"/>
              <w:bottom w:val="single" w:color="000000" w:sz="12" w:space="0"/>
            </w:tcBorders>
            <w:vAlign w:val="center"/>
          </w:tcPr>
          <w:p>
            <w:pPr>
              <w:widowControl/>
              <w:ind w:firstLine="0" w:firstLineChars="0"/>
              <w:jc w:val="center"/>
              <w:textAlignment w:val="center"/>
              <w:rPr>
                <w:rFonts w:hint="default" w:cs="仿宋" w:asciiTheme="minorEastAsia" w:hAnsiTheme="minorEastAsia" w:eastAsiaTheme="minorEastAsia"/>
                <w:bCs/>
                <w:color w:val="000000"/>
                <w:sz w:val="22"/>
                <w:szCs w:val="20"/>
                <w:lang w:val="en-US" w:eastAsia="zh-CN"/>
              </w:rPr>
            </w:pPr>
            <w:r>
              <w:rPr>
                <w:rFonts w:hint="eastAsia" w:cs="仿宋" w:asciiTheme="minorEastAsia" w:hAnsiTheme="minorEastAsia" w:eastAsiaTheme="minorEastAsia"/>
                <w:bCs/>
                <w:color w:val="000000"/>
                <w:sz w:val="22"/>
                <w:szCs w:val="20"/>
                <w:lang w:val="en-US" w:eastAsia="zh-CN"/>
              </w:rPr>
              <w:t>优</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Times New Roman" w:eastAsia="仿宋_GB2312" w:cs="Times New Roman"/>
          <w:color w:val="000000"/>
          <w:sz w:val="32"/>
          <w:szCs w:val="32"/>
          <w:highlight w:val="none"/>
          <w:lang w:val="en-US" w:eastAsia="zh-CN"/>
        </w:rPr>
        <w:t>行政运行</w:t>
      </w:r>
      <w:r>
        <w:rPr>
          <w:rFonts w:hint="eastAsia" w:ascii="仿宋_GB2312" w:hAnsi="Times New Roman" w:eastAsia="仿宋_GB2312" w:cs="Times New Roman"/>
          <w:color w:val="000000"/>
          <w:sz w:val="32"/>
          <w:szCs w:val="32"/>
          <w:highlight w:val="none"/>
          <w:lang w:eastAsia="zh-CN"/>
        </w:rPr>
        <w:t>项目绩</w:t>
      </w:r>
      <w:r>
        <w:rPr>
          <w:rFonts w:hint="eastAsia" w:ascii="仿宋_GB2312" w:eastAsia="仿宋_GB2312"/>
          <w:color w:val="000000"/>
          <w:sz w:val="32"/>
          <w:szCs w:val="32"/>
          <w:highlight w:val="none"/>
          <w:lang w:eastAsia="zh-CN"/>
        </w:rPr>
        <w:t>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92.89</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404.33</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401.45</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99.29%。</w:t>
      </w:r>
      <w:r>
        <w:rPr>
          <w:rFonts w:hint="eastAsia" w:ascii="仿宋_GB2312" w:eastAsia="仿宋_GB2312"/>
          <w:sz w:val="32"/>
          <w:szCs w:val="32"/>
        </w:rPr>
        <w:t>项目绩效目标完成情况：一是已经足月支付</w:t>
      </w:r>
      <w:r>
        <w:rPr>
          <w:rFonts w:hint="eastAsia" w:ascii="仿宋_GB2312" w:eastAsia="仿宋_GB2312"/>
          <w:sz w:val="32"/>
          <w:szCs w:val="32"/>
          <w:lang w:eastAsia="zh-CN"/>
        </w:rPr>
        <w:t>外包人员</w:t>
      </w:r>
      <w:r>
        <w:rPr>
          <w:rFonts w:hint="eastAsia" w:ascii="仿宋_GB2312" w:eastAsia="仿宋_GB2312"/>
          <w:sz w:val="32"/>
          <w:szCs w:val="32"/>
        </w:rPr>
        <w:t>劳务费；二是</w:t>
      </w:r>
      <w:r>
        <w:rPr>
          <w:rFonts w:hint="eastAsia" w:ascii="仿宋_GB2312" w:eastAsia="仿宋_GB2312"/>
          <w:sz w:val="32"/>
          <w:szCs w:val="32"/>
          <w:lang w:eastAsia="zh-CN"/>
        </w:rPr>
        <w:t>2022年</w:t>
      </w:r>
      <w:r>
        <w:rPr>
          <w:rFonts w:hint="eastAsia" w:ascii="仿宋_GB2312" w:eastAsia="仿宋_GB2312"/>
          <w:sz w:val="32"/>
          <w:szCs w:val="32"/>
        </w:rPr>
        <w:t>单位结案率为</w:t>
      </w:r>
      <w:r>
        <w:rPr>
          <w:rFonts w:hint="eastAsia" w:ascii="仿宋_GB2312" w:eastAsia="仿宋_GB2312"/>
          <w:sz w:val="32"/>
          <w:szCs w:val="32"/>
          <w:lang w:val="en-US" w:eastAsia="zh-CN"/>
        </w:rPr>
        <w:t>75.03</w:t>
      </w:r>
      <w:r>
        <w:rPr>
          <w:rFonts w:hint="eastAsia" w:ascii="仿宋_GB2312" w:eastAsia="仿宋_GB2312"/>
          <w:sz w:val="32"/>
          <w:szCs w:val="32"/>
        </w:rPr>
        <w:t>%(按照最高院相关文件的结案率算法统计)，已达到目标。发现的主要问题及原因：年度中有调整项目资金及支出进度不均衡，原因是个别别项目剩余资金略多，以及受支出流程办理等客观因素影响，个别项目支出进度不够均衡；。下一步改进措施：一是提高预算编制的科学合理性，减少剩余资金较多的项目资金分配；二是多方面配合督促，推进支出项目的开展，及时</w:t>
      </w:r>
      <w:r>
        <w:rPr>
          <w:rFonts w:hint="eastAsia" w:ascii="仿宋_GB2312" w:eastAsia="仿宋_GB2312"/>
          <w:sz w:val="32"/>
          <w:szCs w:val="32"/>
          <w:lang w:eastAsia="zh-CN"/>
        </w:rPr>
        <w:t>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4.聘用制书记员管理项目</w:t>
      </w:r>
      <w:r>
        <w:rPr>
          <w:rFonts w:hint="eastAsia" w:ascii="仿宋_GB2312" w:hAnsi="Times New Roman" w:eastAsia="仿宋_GB2312" w:cs="Times New Roman"/>
          <w:sz w:val="32"/>
          <w:szCs w:val="32"/>
          <w:lang w:eastAsia="zh-CN"/>
        </w:rPr>
        <w:t>项目自评表：</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cs="Times New Roman"/>
          <w:color w:val="000000"/>
          <w:sz w:val="32"/>
          <w:szCs w:val="32"/>
          <w:highlight w:val="none"/>
          <w:lang w:val="en-US" w:eastAsia="zh-CN"/>
        </w:rPr>
      </w:pPr>
      <w:bookmarkStart w:id="96" w:name="_Toc12322"/>
      <w:bookmarkStart w:id="97" w:name="_Toc15070"/>
      <w:r>
        <w:rPr>
          <w:rFonts w:hint="eastAsia" w:ascii="仿宋_GB2312" w:hAnsi="Times New Roman" w:eastAsia="仿宋_GB2312" w:cs="Times New Roman"/>
          <w:sz w:val="32"/>
          <w:szCs w:val="32"/>
          <w:lang w:val="en-US" w:eastAsia="zh-CN"/>
        </w:rPr>
        <w:t>聘用制书记员管理绩效评价结</w:t>
      </w:r>
      <w:bookmarkEnd w:id="96"/>
      <w:bookmarkEnd w:id="97"/>
      <w:r>
        <w:rPr>
          <w:rFonts w:hint="eastAsia" w:ascii="仿宋_GB2312" w:hAnsi="Times New Roman" w:eastAsia="仿宋_GB2312" w:cs="Times New Roman"/>
          <w:sz w:val="32"/>
          <w:szCs w:val="32"/>
          <w:lang w:val="en-US" w:eastAsia="zh-CN"/>
        </w:rPr>
        <w:t>果</w:t>
      </w:r>
    </w:p>
    <w:tbl>
      <w:tblPr>
        <w:tblStyle w:val="5"/>
        <w:tblpPr w:leftFromText="180" w:rightFromText="180" w:vertAnchor="text" w:horzAnchor="page" w:tblpX="1905" w:tblpY="458"/>
        <w:tblOverlap w:val="never"/>
        <w:tblW w:w="8618"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2462"/>
        <w:gridCol w:w="3078"/>
        <w:gridCol w:w="307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评价内容</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分值</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绩效得分</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决策</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 w:val="21"/>
                <w:szCs w:val="20"/>
              </w:rPr>
            </w:pPr>
            <w:r>
              <w:rPr>
                <w:rFonts w:hint="eastAsia" w:asciiTheme="minorEastAsia" w:hAnsiTheme="minorEastAsia" w:eastAsiaTheme="minorEastAsia" w:cstheme="minorEastAsia"/>
                <w:color w:val="000000"/>
                <w:kern w:val="0"/>
                <w:sz w:val="21"/>
                <w:szCs w:val="20"/>
                <w:lang w:bidi="ar"/>
              </w:rPr>
              <w:t>21</w:t>
            </w:r>
          </w:p>
        </w:tc>
        <w:tc>
          <w:tcPr>
            <w:tcW w:w="3078" w:type="dxa"/>
            <w:tcBorders>
              <w:tl2br w:val="nil"/>
              <w:tr2bl w:val="nil"/>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0"/>
                <w:lang w:val="en-US" w:eastAsia="zh-CN"/>
              </w:rPr>
            </w:pPr>
            <w:r>
              <w:rPr>
                <w:rFonts w:hint="eastAsia" w:asciiTheme="minorEastAsia" w:hAnsiTheme="minorEastAsia" w:eastAsiaTheme="minorEastAsia" w:cstheme="minorEastAsia"/>
                <w:color w:val="000000"/>
                <w:kern w:val="0"/>
                <w:sz w:val="21"/>
                <w:szCs w:val="20"/>
                <w:lang w:val="en-US" w:eastAsia="zh-CN" w:bidi="ar"/>
              </w:rPr>
              <w:t>20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过程</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 w:val="21"/>
                <w:szCs w:val="20"/>
              </w:rPr>
            </w:pPr>
            <w:r>
              <w:rPr>
                <w:rFonts w:hint="eastAsia" w:asciiTheme="minorEastAsia" w:hAnsiTheme="minorEastAsia" w:eastAsiaTheme="minorEastAsia" w:cstheme="minorEastAsia"/>
                <w:color w:val="000000"/>
                <w:kern w:val="0"/>
                <w:sz w:val="21"/>
                <w:szCs w:val="20"/>
                <w:lang w:bidi="ar"/>
              </w:rPr>
              <w:t>19</w:t>
            </w:r>
          </w:p>
        </w:tc>
        <w:tc>
          <w:tcPr>
            <w:tcW w:w="3078" w:type="dxa"/>
            <w:tcBorders>
              <w:tl2br w:val="nil"/>
              <w:tr2bl w:val="nil"/>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0"/>
                <w:lang w:val="en-US" w:eastAsia="zh-CN"/>
              </w:rPr>
            </w:pPr>
            <w:r>
              <w:rPr>
                <w:rFonts w:hint="eastAsia" w:asciiTheme="minorEastAsia" w:hAnsiTheme="minorEastAsia" w:eastAsiaTheme="minorEastAsia" w:cstheme="minorEastAsia"/>
                <w:color w:val="000000"/>
                <w:kern w:val="0"/>
                <w:sz w:val="21"/>
                <w:szCs w:val="20"/>
                <w:lang w:val="en-US" w:eastAsia="zh-CN" w:bidi="ar"/>
              </w:rPr>
              <w:t>18.89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产出</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 w:val="21"/>
                <w:szCs w:val="20"/>
              </w:rPr>
            </w:pPr>
            <w:r>
              <w:rPr>
                <w:rFonts w:hint="eastAsia" w:asciiTheme="minorEastAsia" w:hAnsiTheme="minorEastAsia" w:eastAsiaTheme="minorEastAsia" w:cstheme="minorEastAsia"/>
                <w:color w:val="000000"/>
                <w:kern w:val="0"/>
                <w:sz w:val="21"/>
                <w:szCs w:val="20"/>
                <w:lang w:bidi="ar"/>
              </w:rPr>
              <w:t>30</w:t>
            </w:r>
          </w:p>
        </w:tc>
        <w:tc>
          <w:tcPr>
            <w:tcW w:w="3078" w:type="dxa"/>
            <w:tcBorders>
              <w:tl2br w:val="nil"/>
              <w:tr2bl w:val="nil"/>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0"/>
                <w:lang w:val="en-US" w:eastAsia="zh-CN"/>
              </w:rPr>
            </w:pPr>
            <w:r>
              <w:rPr>
                <w:rFonts w:hint="eastAsia" w:asciiTheme="minorEastAsia" w:hAnsiTheme="minorEastAsia" w:eastAsiaTheme="minorEastAsia" w:cstheme="minorEastAsia"/>
                <w:color w:val="000000"/>
                <w:kern w:val="0"/>
                <w:sz w:val="21"/>
                <w:szCs w:val="20"/>
                <w:lang w:val="en-US" w:eastAsia="zh-CN" w:bidi="ar"/>
              </w:rPr>
              <w:t>28.67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效益</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 w:val="21"/>
                <w:szCs w:val="20"/>
              </w:rPr>
            </w:pPr>
            <w:r>
              <w:rPr>
                <w:rFonts w:hint="eastAsia" w:asciiTheme="minorEastAsia" w:hAnsiTheme="minorEastAsia" w:eastAsiaTheme="minorEastAsia" w:cstheme="minorEastAsia"/>
                <w:color w:val="000000"/>
                <w:kern w:val="0"/>
                <w:sz w:val="21"/>
                <w:szCs w:val="20"/>
                <w:lang w:bidi="ar"/>
              </w:rPr>
              <w:t>30</w:t>
            </w:r>
          </w:p>
        </w:tc>
        <w:tc>
          <w:tcPr>
            <w:tcW w:w="3078" w:type="dxa"/>
            <w:tcBorders>
              <w:tl2br w:val="nil"/>
              <w:tr2bl w:val="nil"/>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0"/>
                <w:lang w:val="en-US" w:eastAsia="zh-CN"/>
              </w:rPr>
            </w:pPr>
            <w:r>
              <w:rPr>
                <w:rFonts w:hint="eastAsia" w:asciiTheme="minorEastAsia" w:hAnsiTheme="minorEastAsia" w:eastAsiaTheme="minorEastAsia" w:cstheme="minorEastAsia"/>
                <w:color w:val="000000"/>
                <w:kern w:val="0"/>
                <w:sz w:val="21"/>
                <w:szCs w:val="20"/>
                <w:lang w:val="en-US" w:eastAsia="zh-CN" w:bidi="ar"/>
              </w:rPr>
              <w:t>22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合  计</w:t>
            </w:r>
          </w:p>
        </w:tc>
        <w:tc>
          <w:tcPr>
            <w:tcW w:w="3078"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 w:val="21"/>
                <w:szCs w:val="20"/>
              </w:rPr>
            </w:pPr>
            <w:r>
              <w:rPr>
                <w:rFonts w:hint="eastAsia" w:asciiTheme="minorEastAsia" w:hAnsiTheme="minorEastAsia" w:eastAsiaTheme="minorEastAsia" w:cstheme="minorEastAsia"/>
                <w:color w:val="000000"/>
                <w:kern w:val="0"/>
                <w:sz w:val="21"/>
                <w:szCs w:val="20"/>
                <w:lang w:bidi="ar"/>
              </w:rPr>
              <w:t>100</w:t>
            </w:r>
          </w:p>
        </w:tc>
        <w:tc>
          <w:tcPr>
            <w:tcW w:w="3078" w:type="dxa"/>
            <w:tcBorders>
              <w:tl2br w:val="nil"/>
              <w:tr2bl w:val="nil"/>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0"/>
                <w:lang w:val="en-US" w:eastAsia="zh-CN"/>
              </w:rPr>
            </w:pPr>
            <w:r>
              <w:rPr>
                <w:rFonts w:hint="eastAsia" w:asciiTheme="minorEastAsia" w:hAnsiTheme="minorEastAsia" w:eastAsiaTheme="minorEastAsia" w:cstheme="minorEastAsia"/>
                <w:color w:val="000000"/>
                <w:kern w:val="0"/>
                <w:sz w:val="21"/>
                <w:szCs w:val="20"/>
                <w:lang w:val="en-US" w:eastAsia="zh-CN" w:bidi="ar"/>
              </w:rPr>
              <w:t>89.56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2462" w:type="dxa"/>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绩效评级</w:t>
            </w:r>
          </w:p>
        </w:tc>
        <w:tc>
          <w:tcPr>
            <w:tcW w:w="6156" w:type="dxa"/>
            <w:gridSpan w:val="2"/>
            <w:tcBorders>
              <w:tl2br w:val="nil"/>
              <w:tr2bl w:val="nil"/>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sz w:val="21"/>
                <w:szCs w:val="20"/>
                <w:lang w:eastAsia="zh-CN"/>
              </w:rPr>
            </w:pPr>
            <w:r>
              <w:rPr>
                <w:rFonts w:hint="eastAsia" w:asciiTheme="minorEastAsia" w:hAnsiTheme="minorEastAsia" w:eastAsiaTheme="minorEastAsia" w:cstheme="minorEastAsia"/>
                <w:color w:val="000000"/>
                <w:sz w:val="21"/>
                <w:szCs w:val="20"/>
                <w:lang w:val="en-US" w:eastAsia="zh-CN"/>
              </w:rPr>
              <w:t>良</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highlight w:val="none"/>
          <w:lang w:val="en-US" w:eastAsia="zh-CN"/>
        </w:rPr>
      </w:pPr>
    </w:p>
    <w:p>
      <w:pPr>
        <w:ind w:firstLine="640" w:firstLineChars="200"/>
        <w:rPr>
          <w:rFonts w:hint="eastAsia" w:ascii="仿宋_GB2312" w:eastAsia="仿宋_GB2312"/>
          <w:sz w:val="32"/>
          <w:szCs w:val="32"/>
          <w:lang w:eastAsia="zh-CN"/>
        </w:rPr>
      </w:pPr>
      <w:r>
        <w:rPr>
          <w:rFonts w:hint="eastAsia" w:ascii="仿宋_GB2312" w:hAnsi="Times New Roman" w:eastAsia="仿宋_GB2312" w:cs="Times New Roman"/>
          <w:color w:val="000000"/>
          <w:sz w:val="32"/>
          <w:szCs w:val="32"/>
          <w:highlight w:val="none"/>
          <w:lang w:val="en-US" w:eastAsia="zh-CN"/>
        </w:rPr>
        <w:t>聘用制书记员管理</w:t>
      </w:r>
      <w:r>
        <w:rPr>
          <w:rFonts w:hint="eastAsia" w:ascii="仿宋_GB2312" w:hAnsi="Times New Roman" w:eastAsia="仿宋_GB2312" w:cs="Times New Roman"/>
          <w:color w:val="000000"/>
          <w:sz w:val="32"/>
          <w:szCs w:val="32"/>
          <w:highlight w:val="none"/>
          <w:lang w:eastAsia="zh-CN"/>
        </w:rPr>
        <w:t>项目绩</w:t>
      </w:r>
      <w:r>
        <w:rPr>
          <w:rFonts w:hint="eastAsia" w:ascii="仿宋_GB2312" w:eastAsia="仿宋_GB2312"/>
          <w:color w:val="000000"/>
          <w:sz w:val="32"/>
          <w:szCs w:val="32"/>
          <w:highlight w:val="none"/>
          <w:lang w:eastAsia="zh-CN"/>
        </w:rPr>
        <w:t>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89.56</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97.71</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97.71%。</w:t>
      </w:r>
      <w:r>
        <w:rPr>
          <w:rFonts w:hint="eastAsia" w:ascii="仿宋_GB2312" w:eastAsia="仿宋_GB2312"/>
          <w:sz w:val="32"/>
          <w:szCs w:val="32"/>
        </w:rPr>
        <w:t>项目绩效目标完成情况：一是支出体检批数已达到2次，超过目标值；二是在聘用制书记员的合力工作下，我院</w:t>
      </w:r>
      <w:r>
        <w:rPr>
          <w:rFonts w:hint="eastAsia" w:ascii="仿宋_GB2312" w:eastAsia="仿宋_GB2312"/>
          <w:sz w:val="32"/>
          <w:szCs w:val="32"/>
          <w:lang w:eastAsia="zh-CN"/>
        </w:rPr>
        <w:t>2022年</w:t>
      </w:r>
      <w:r>
        <w:rPr>
          <w:rFonts w:hint="eastAsia" w:ascii="仿宋_GB2312" w:eastAsia="仿宋_GB2312"/>
          <w:sz w:val="32"/>
          <w:szCs w:val="32"/>
        </w:rPr>
        <w:t>结案率为</w:t>
      </w:r>
      <w:r>
        <w:rPr>
          <w:rFonts w:hint="eastAsia" w:ascii="仿宋_GB2312" w:eastAsia="仿宋_GB2312"/>
          <w:sz w:val="32"/>
          <w:szCs w:val="32"/>
          <w:lang w:val="en-US" w:eastAsia="zh-CN"/>
        </w:rPr>
        <w:t>75.03</w:t>
      </w:r>
      <w:r>
        <w:rPr>
          <w:rFonts w:hint="eastAsia" w:ascii="仿宋_GB2312" w:eastAsia="仿宋_GB2312"/>
          <w:sz w:val="32"/>
          <w:szCs w:val="32"/>
        </w:rPr>
        <w:t>%（按照最高院相关文件的结案率算法统计），已达到目标。发现的主要问题及原因：项目资金结余较多及支出不均衡。下一步改进措施：一是优化项目资金结构，使预算资金更贴合实际支出；二是统筹支出安排，合理安排资金支出顺序</w:t>
      </w:r>
      <w:r>
        <w:rPr>
          <w:rFonts w:hint="eastAsia" w:ascii="仿宋_GB2312" w:eastAsia="仿宋_GB2312"/>
          <w:sz w:val="32"/>
          <w:szCs w:val="32"/>
          <w:lang w:eastAsia="zh-CN"/>
        </w:rPr>
        <w:t>。</w:t>
      </w:r>
    </w:p>
    <w:p>
      <w:pPr>
        <w:pStyle w:val="2"/>
        <w:rPr>
          <w:rFonts w:hint="eastAsia"/>
          <w:lang w:val="en-US" w:eastAsia="zh-CN"/>
        </w:rPr>
      </w:pPr>
      <w:bookmarkStart w:id="209" w:name="_GoBack"/>
      <w:bookmarkEnd w:id="20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val="en-US" w:eastAsia="zh-CN"/>
        </w:rPr>
        <w:t>（三）部门评价结果（预算部门填写，部门所属单位不需填写）。</w:t>
      </w:r>
    </w:p>
    <w:p>
      <w:pPr>
        <w:pStyle w:val="2"/>
        <w:numPr>
          <w:numId w:val="0"/>
        </w:numPr>
        <w:ind w:leftChars="200"/>
        <w:rPr>
          <w:rFonts w:hint="eastAsia"/>
        </w:rPr>
      </w:pPr>
    </w:p>
    <w:p>
      <w:pPr>
        <w:ind w:firstLine="643" w:firstLineChars="200"/>
        <w:jc w:val="center"/>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行政运行项目支出绩效评价报告</w:t>
      </w:r>
    </w:p>
    <w:p>
      <w:pPr>
        <w:ind w:firstLine="640" w:firstLineChars="200"/>
        <w:rPr>
          <w:rFonts w:hint="eastAsia" w:ascii="仿宋_GB2312" w:hAnsi="Times New Roman" w:eastAsia="仿宋_GB2312" w:cs="Times New Roman"/>
          <w:sz w:val="32"/>
          <w:szCs w:val="32"/>
          <w:lang w:eastAsia="zh-CN"/>
        </w:rPr>
      </w:pPr>
      <w:bookmarkStart w:id="98" w:name="_Toc14184"/>
    </w:p>
    <w:p>
      <w:pPr>
        <w:ind w:firstLine="640" w:firstLineChars="200"/>
        <w:rPr>
          <w:rFonts w:hint="eastAsia" w:ascii="仿宋_GB2312" w:hAnsi="Times New Roman" w:eastAsia="仿宋_GB2312" w:cs="Times New Roman"/>
          <w:sz w:val="32"/>
          <w:szCs w:val="32"/>
          <w:lang w:eastAsia="zh-CN"/>
        </w:rPr>
      </w:pPr>
      <w:bookmarkStart w:id="99" w:name="_Toc16064"/>
      <w:bookmarkStart w:id="100" w:name="_Toc27902"/>
      <w:bookmarkStart w:id="101" w:name="_Toc15081"/>
      <w:r>
        <w:rPr>
          <w:rFonts w:hint="eastAsia" w:ascii="仿宋_GB2312" w:hAnsi="Times New Roman" w:eastAsia="仿宋_GB2312" w:cs="Times New Roman"/>
          <w:sz w:val="32"/>
          <w:szCs w:val="32"/>
          <w:lang w:eastAsia="zh-CN"/>
        </w:rPr>
        <w:t>一、基本情况</w:t>
      </w:r>
      <w:bookmarkEnd w:id="98"/>
      <w:bookmarkEnd w:id="99"/>
      <w:bookmarkEnd w:id="100"/>
      <w:bookmarkEnd w:id="101"/>
    </w:p>
    <w:p>
      <w:pPr>
        <w:ind w:firstLine="640" w:firstLineChars="200"/>
        <w:rPr>
          <w:rFonts w:hint="eastAsia" w:ascii="仿宋_GB2312" w:hAnsi="Times New Roman" w:eastAsia="仿宋_GB2312" w:cs="Times New Roman"/>
          <w:sz w:val="32"/>
          <w:szCs w:val="32"/>
          <w:lang w:eastAsia="zh-CN"/>
        </w:rPr>
      </w:pPr>
      <w:bookmarkStart w:id="102" w:name="_Toc22107"/>
      <w:bookmarkStart w:id="103" w:name="_Toc16335"/>
      <w:bookmarkStart w:id="104" w:name="_Toc4614"/>
      <w:bookmarkStart w:id="105" w:name="_Toc3374"/>
      <w:r>
        <w:rPr>
          <w:rFonts w:hint="eastAsia" w:ascii="仿宋_GB2312" w:hAnsi="Times New Roman" w:eastAsia="仿宋_GB2312" w:cs="Times New Roman"/>
          <w:sz w:val="32"/>
          <w:szCs w:val="32"/>
          <w:lang w:eastAsia="zh-CN"/>
        </w:rPr>
        <w:t>（一）项目概况</w:t>
      </w:r>
      <w:bookmarkEnd w:id="102"/>
      <w:bookmarkEnd w:id="103"/>
      <w:bookmarkEnd w:id="104"/>
      <w:bookmarkEnd w:id="105"/>
    </w:p>
    <w:p>
      <w:pPr>
        <w:ind w:firstLine="640" w:firstLineChars="200"/>
        <w:rPr>
          <w:rFonts w:hint="eastAsia" w:ascii="仿宋_GB2312" w:hAnsi="Times New Roman" w:eastAsia="仿宋_GB2312" w:cs="Times New Roman"/>
          <w:sz w:val="32"/>
          <w:szCs w:val="32"/>
        </w:rPr>
      </w:pPr>
      <w:bookmarkStart w:id="106" w:name="_Toc4301"/>
      <w:r>
        <w:rPr>
          <w:rFonts w:hint="eastAsia" w:ascii="仿宋_GB2312" w:hAnsi="Times New Roman" w:eastAsia="仿宋_GB2312" w:cs="Times New Roman"/>
          <w:sz w:val="32"/>
          <w:szCs w:val="32"/>
        </w:rPr>
        <w:t>1.项目背景</w:t>
      </w:r>
      <w:bookmarkEnd w:id="106"/>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亚市城郊人民法院2022年部门预算编制范围只有部门本级1家预算单位，单位内设有办公室、政治部、机关党委、立案庭、刑事审判庭、民事审判庭、行政审判庭、执行局、旅游审判庭、审判管理办公室、吉阳人民法庭、天涯人民法庭、崖城人民法庭、海棠湾人民法庭和司法法警大队15个部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行政运行项目</w:t>
      </w:r>
      <w:r>
        <w:rPr>
          <w:rFonts w:hint="eastAsia" w:ascii="仿宋_GB2312" w:hAnsi="Times New Roman" w:eastAsia="仿宋_GB2312" w:cs="Times New Roman"/>
          <w:sz w:val="32"/>
          <w:szCs w:val="32"/>
        </w:rPr>
        <w:t>职能主要是行政单位（包括实行公务员管理的事业单位）其他支出项目。</w:t>
      </w:r>
    </w:p>
    <w:p>
      <w:pPr>
        <w:ind w:firstLine="640" w:firstLineChars="200"/>
        <w:rPr>
          <w:rFonts w:hint="eastAsia" w:ascii="仿宋_GB2312" w:hAnsi="Times New Roman" w:eastAsia="仿宋_GB2312" w:cs="Times New Roman"/>
          <w:sz w:val="32"/>
          <w:szCs w:val="32"/>
        </w:rPr>
      </w:pPr>
      <w:bookmarkStart w:id="107" w:name="_Toc12749"/>
      <w:r>
        <w:rPr>
          <w:rFonts w:hint="eastAsia" w:ascii="仿宋_GB2312" w:hAnsi="Times New Roman" w:eastAsia="仿宋_GB2312" w:cs="Times New Roman"/>
          <w:sz w:val="32"/>
          <w:szCs w:val="32"/>
        </w:rPr>
        <w:t>2.主要内容及</w:t>
      </w:r>
      <w:bookmarkStart w:id="108" w:name="_Hlk86591559"/>
      <w:r>
        <w:rPr>
          <w:rFonts w:hint="eastAsia" w:ascii="仿宋_GB2312" w:hAnsi="Times New Roman" w:eastAsia="仿宋_GB2312" w:cs="Times New Roman"/>
          <w:sz w:val="32"/>
          <w:szCs w:val="32"/>
        </w:rPr>
        <w:t>实施情况</w:t>
      </w:r>
      <w:bookmarkEnd w:id="107"/>
      <w:bookmarkEnd w:id="108"/>
    </w:p>
    <w:p>
      <w:pPr>
        <w:ind w:firstLine="640" w:firstLineChars="200"/>
        <w:rPr>
          <w:rFonts w:hint="eastAsia" w:ascii="仿宋_GB2312" w:hAnsi="Times New Roman" w:eastAsia="仿宋_GB2312" w:cs="Times New Roman"/>
          <w:sz w:val="32"/>
          <w:szCs w:val="32"/>
        </w:rPr>
      </w:pPr>
      <w:bookmarkStart w:id="109" w:name="_Hlk76047146"/>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主要内容包括：预算安排404.33万元，主要用于</w:t>
      </w:r>
      <w:r>
        <w:rPr>
          <w:rFonts w:hint="eastAsia" w:ascii="仿宋_GB2312" w:hAnsi="Times New Roman" w:eastAsia="仿宋_GB2312" w:cs="Times New Roman"/>
          <w:sz w:val="32"/>
          <w:szCs w:val="32"/>
          <w:lang w:val="en-US" w:eastAsia="zh-CN"/>
        </w:rPr>
        <w:t>三亚市城郊人民法</w:t>
      </w:r>
      <w:r>
        <w:rPr>
          <w:rFonts w:hint="eastAsia" w:ascii="仿宋_GB2312" w:hAnsi="Times New Roman" w:eastAsia="仿宋_GB2312" w:cs="Times New Roman"/>
          <w:sz w:val="32"/>
          <w:szCs w:val="32"/>
        </w:rPr>
        <w:t>院</w:t>
      </w:r>
      <w:r>
        <w:rPr>
          <w:rFonts w:hint="eastAsia" w:ascii="仿宋_GB2312" w:hAnsi="Times New Roman" w:eastAsia="仿宋_GB2312" w:cs="Times New Roman"/>
          <w:sz w:val="32"/>
          <w:szCs w:val="32"/>
          <w:lang w:val="en-US" w:eastAsia="zh-CN"/>
        </w:rPr>
        <w:t>劳务费、办公费、</w:t>
      </w:r>
      <w:r>
        <w:rPr>
          <w:rFonts w:hint="eastAsia" w:ascii="仿宋_GB2312" w:hAnsi="Times New Roman" w:eastAsia="仿宋_GB2312" w:cs="Times New Roman"/>
          <w:sz w:val="32"/>
          <w:szCs w:val="32"/>
        </w:rPr>
        <w:t>水电费、物业费以及日常费等支出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不涉及项目投标、调整、完成验收等情况。</w:t>
      </w:r>
      <w:bookmarkEnd w:id="109"/>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具体实施情况如下：</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办公经费支出：支付日常办公费用及耗材费、网络租赁费、报刊杂志等费用；</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培训费支出：支付单位人员参加培训班费用；</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专用材料购置费：支付购买防疫物资；</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委托业务费：支付劳务派遣人员2022年工资、社保、公积金及管理费等费用；</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维修（护）费：支付院内零星维修费用等；</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其他商品和服务支出：支付后勤中心物资费用、院内干警加班误餐补助；</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房屋建筑物购置：支付垃圾分类亭费用、新崖城人民法庭消防通道铁艺大门；</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设备购置：支付办公设备购置、厨房使用设备；</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其他资本性支出。</w:t>
      </w:r>
    </w:p>
    <w:p>
      <w:pPr>
        <w:ind w:firstLine="640" w:firstLineChars="200"/>
        <w:rPr>
          <w:rFonts w:hint="eastAsia" w:ascii="仿宋_GB2312" w:hAnsi="Times New Roman" w:eastAsia="仿宋_GB2312" w:cs="Times New Roman"/>
          <w:sz w:val="32"/>
          <w:szCs w:val="32"/>
        </w:rPr>
      </w:pPr>
      <w:bookmarkStart w:id="110" w:name="_Toc14787"/>
      <w:r>
        <w:rPr>
          <w:rFonts w:hint="eastAsia" w:ascii="仿宋_GB2312" w:hAnsi="Times New Roman" w:eastAsia="仿宋_GB2312" w:cs="Times New Roman"/>
          <w:sz w:val="32"/>
          <w:szCs w:val="32"/>
        </w:rPr>
        <w:t>3.资金投入和使用情况</w:t>
      </w:r>
      <w:bookmarkEnd w:id="110"/>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年度《可执行指标执行情况表》，</w:t>
      </w: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预算资金共</w:t>
      </w:r>
      <w:r>
        <w:rPr>
          <w:rFonts w:hint="eastAsia" w:ascii="仿宋_GB2312" w:hAnsi="Times New Roman" w:eastAsia="仿宋_GB2312" w:cs="Times New Roman"/>
          <w:sz w:val="32"/>
          <w:szCs w:val="32"/>
          <w:lang w:val="en-US" w:eastAsia="zh-CN"/>
        </w:rPr>
        <w:t>404.33</w:t>
      </w:r>
      <w:r>
        <w:rPr>
          <w:rFonts w:hint="eastAsia" w:ascii="仿宋_GB2312" w:hAnsi="Times New Roman" w:eastAsia="仿宋_GB2312" w:cs="Times New Roman"/>
          <w:sz w:val="32"/>
          <w:szCs w:val="32"/>
        </w:rPr>
        <w:t>万元，全部为</w:t>
      </w:r>
      <w:r>
        <w:rPr>
          <w:rFonts w:hint="eastAsia" w:ascii="仿宋_GB2312" w:hAnsi="Times New Roman" w:eastAsia="仿宋_GB2312" w:cs="Times New Roman"/>
          <w:sz w:val="32"/>
          <w:szCs w:val="32"/>
          <w:lang w:val="en-US" w:eastAsia="zh-CN"/>
        </w:rPr>
        <w:t>省</w:t>
      </w:r>
      <w:r>
        <w:rPr>
          <w:rFonts w:hint="eastAsia" w:ascii="仿宋_GB2312" w:hAnsi="Times New Roman" w:eastAsia="仿宋_GB2312" w:cs="Times New Roman"/>
          <w:sz w:val="32"/>
          <w:szCs w:val="32"/>
        </w:rPr>
        <w:t>级资金，202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年度调整调剂资金</w:t>
      </w:r>
      <w:r>
        <w:rPr>
          <w:rFonts w:hint="eastAsia" w:ascii="仿宋_GB2312" w:hAnsi="Times New Roman" w:eastAsia="仿宋_GB2312" w:cs="Times New Roman"/>
          <w:sz w:val="32"/>
          <w:szCs w:val="32"/>
          <w:lang w:val="en-US" w:eastAsia="zh-CN"/>
        </w:rPr>
        <w:t>0.00</w:t>
      </w:r>
      <w:r>
        <w:rPr>
          <w:rFonts w:hint="eastAsia" w:ascii="仿宋_GB2312" w:hAnsi="Times New Roman" w:eastAsia="仿宋_GB2312" w:cs="Times New Roman"/>
          <w:sz w:val="32"/>
          <w:szCs w:val="32"/>
        </w:rPr>
        <w:t>万元，调整后预算资金</w:t>
      </w:r>
      <w:r>
        <w:rPr>
          <w:rFonts w:hint="eastAsia" w:ascii="仿宋_GB2312" w:hAnsi="Times New Roman" w:eastAsia="仿宋_GB2312" w:cs="Times New Roman"/>
          <w:sz w:val="32"/>
          <w:szCs w:val="32"/>
          <w:lang w:val="en-US" w:eastAsia="zh-CN"/>
        </w:rPr>
        <w:t>404.33</w:t>
      </w:r>
      <w:r>
        <w:rPr>
          <w:rFonts w:hint="eastAsia" w:ascii="仿宋_GB2312" w:hAnsi="Times New Roman" w:eastAsia="仿宋_GB2312" w:cs="Times New Roman"/>
          <w:sz w:val="32"/>
          <w:szCs w:val="32"/>
        </w:rPr>
        <w:t>万元，实际支出资金</w:t>
      </w:r>
      <w:r>
        <w:rPr>
          <w:rFonts w:hint="eastAsia" w:ascii="仿宋_GB2312" w:hAnsi="Times New Roman" w:eastAsia="仿宋_GB2312" w:cs="Times New Roman"/>
          <w:sz w:val="32"/>
          <w:szCs w:val="32"/>
          <w:lang w:val="en-US" w:eastAsia="zh-CN"/>
        </w:rPr>
        <w:t>401.45</w:t>
      </w:r>
      <w:r>
        <w:rPr>
          <w:rFonts w:hint="eastAsia" w:ascii="仿宋_GB2312" w:hAnsi="Times New Roman" w:eastAsia="仿宋_GB2312" w:cs="Times New Roman"/>
          <w:sz w:val="32"/>
          <w:szCs w:val="32"/>
        </w:rPr>
        <w:t>万元，支出率9</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%，剩余资金</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88</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ind w:firstLine="640" w:firstLineChars="200"/>
        <w:rPr>
          <w:rFonts w:hint="eastAsia" w:ascii="仿宋_GB2312" w:hAnsi="Times New Roman" w:eastAsia="仿宋_GB2312" w:cs="Times New Roman"/>
          <w:sz w:val="32"/>
          <w:szCs w:val="32"/>
        </w:rPr>
      </w:pPr>
      <w:bookmarkStart w:id="111" w:name="_Toc17694"/>
      <w:bookmarkStart w:id="112" w:name="_Toc22580"/>
      <w:bookmarkStart w:id="113" w:name="_Toc24125"/>
      <w:bookmarkStart w:id="114" w:name="_Toc18170"/>
      <w:r>
        <w:rPr>
          <w:rFonts w:hint="eastAsia" w:ascii="仿宋_GB2312" w:hAnsi="Times New Roman" w:eastAsia="仿宋_GB2312" w:cs="Times New Roman"/>
          <w:sz w:val="32"/>
          <w:szCs w:val="32"/>
        </w:rPr>
        <w:t>（二）项目绩效目标</w:t>
      </w:r>
      <w:bookmarkEnd w:id="111"/>
      <w:bookmarkEnd w:id="112"/>
      <w:bookmarkEnd w:id="113"/>
      <w:bookmarkEnd w:id="114"/>
    </w:p>
    <w:p>
      <w:pPr>
        <w:ind w:firstLine="640" w:firstLineChars="200"/>
        <w:rPr>
          <w:rFonts w:hint="eastAsia" w:ascii="仿宋_GB2312" w:hAnsi="Times New Roman" w:eastAsia="仿宋_GB2312" w:cs="Times New Roman"/>
          <w:sz w:val="32"/>
          <w:szCs w:val="32"/>
        </w:rPr>
      </w:pPr>
      <w:bookmarkStart w:id="115" w:name="_Toc13398"/>
      <w:r>
        <w:rPr>
          <w:rFonts w:hint="eastAsia" w:ascii="仿宋_GB2312" w:hAnsi="Times New Roman" w:eastAsia="仿宋_GB2312" w:cs="Times New Roman"/>
          <w:sz w:val="32"/>
          <w:szCs w:val="32"/>
        </w:rPr>
        <w:t>1.项目实施总目标</w:t>
      </w:r>
      <w:bookmarkEnd w:id="115"/>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根据预算管理一体化系统</w:t>
      </w:r>
      <w:r>
        <w:rPr>
          <w:rFonts w:hint="eastAsia" w:ascii="仿宋_GB2312" w:hAnsi="Times New Roman" w:eastAsia="仿宋_GB2312" w:cs="Times New Roman"/>
          <w:sz w:val="32"/>
          <w:szCs w:val="32"/>
          <w:lang w:val="en-US" w:eastAsia="zh-CN"/>
        </w:rPr>
        <w:t>中《项目绩效目标表》</w:t>
      </w:r>
      <w:r>
        <w:rPr>
          <w:rFonts w:hint="eastAsia" w:ascii="仿宋_GB2312" w:hAnsi="Times New Roman" w:eastAsia="仿宋_GB2312" w:cs="Times New Roman"/>
          <w:sz w:val="32"/>
          <w:szCs w:val="32"/>
        </w:rPr>
        <w:t>查询，</w:t>
      </w: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设置的总体目标为：为法院审判执行工作服务，提供良好的资金保障。</w:t>
      </w:r>
    </w:p>
    <w:p>
      <w:pPr>
        <w:ind w:firstLine="640" w:firstLineChars="200"/>
        <w:rPr>
          <w:rFonts w:hint="eastAsia" w:ascii="仿宋_GB2312" w:hAnsi="Times New Roman" w:eastAsia="仿宋_GB2312" w:cs="Times New Roman"/>
          <w:sz w:val="32"/>
          <w:szCs w:val="32"/>
        </w:rPr>
      </w:pPr>
      <w:bookmarkStart w:id="116" w:name="_Toc10817"/>
      <w:r>
        <w:rPr>
          <w:rFonts w:hint="eastAsia" w:ascii="仿宋_GB2312" w:hAnsi="Times New Roman" w:eastAsia="仿宋_GB2312" w:cs="Times New Roman"/>
          <w:sz w:val="32"/>
          <w:szCs w:val="32"/>
        </w:rPr>
        <w:t>2.项目年初具体绩效目标和绩效指标为：</w:t>
      </w:r>
      <w:bookmarkEnd w:id="116"/>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根据预算管理一体化系统</w:t>
      </w:r>
      <w:r>
        <w:rPr>
          <w:rFonts w:hint="eastAsia" w:ascii="仿宋_GB2312" w:hAnsi="Times New Roman" w:eastAsia="仿宋_GB2312" w:cs="Times New Roman"/>
          <w:sz w:val="32"/>
          <w:szCs w:val="32"/>
          <w:lang w:val="en-US" w:eastAsia="zh-CN"/>
        </w:rPr>
        <w:t>中</w:t>
      </w:r>
      <w:r>
        <w:rPr>
          <w:rFonts w:hint="default" w:ascii="仿宋_GB2312" w:hAnsi="Times New Roman" w:eastAsia="仿宋_GB2312" w:cs="Times New Roman"/>
          <w:sz w:val="32"/>
          <w:szCs w:val="32"/>
        </w:rPr>
        <w:t>《项目绩效目标表》</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行政运行</w:t>
      </w:r>
      <w:r>
        <w:rPr>
          <w:rFonts w:hint="eastAsia" w:ascii="仿宋_GB2312" w:hAnsi="Times New Roman" w:eastAsia="仿宋_GB2312" w:cs="Times New Roman"/>
          <w:sz w:val="32"/>
          <w:szCs w:val="32"/>
        </w:rPr>
        <w:t>活动设置的绩效目标为：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（1）按月给劳务派遣人员发放工资</w:t>
      </w:r>
      <w:r>
        <w:rPr>
          <w:rFonts w:hint="eastAsia" w:ascii="仿宋_GB2312" w:hAnsi="Times New Roman" w:eastAsia="仿宋_GB2312" w:cs="Times New Roman"/>
          <w:sz w:val="32"/>
          <w:szCs w:val="32"/>
          <w:lang w:val="en-US" w:eastAsia="zh-CN"/>
        </w:rPr>
        <w:t>=12个月</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（2）协助办理案件量≥</w:t>
      </w:r>
      <w:r>
        <w:rPr>
          <w:rFonts w:hint="eastAsia" w:ascii="仿宋_GB2312" w:hAnsi="Times New Roman" w:eastAsia="仿宋_GB2312" w:cs="Times New Roman"/>
          <w:sz w:val="32"/>
          <w:szCs w:val="32"/>
          <w:lang w:val="en-US" w:eastAsia="zh-CN"/>
        </w:rPr>
        <w:t>1万件。</w:t>
      </w:r>
    </w:p>
    <w:p>
      <w:pPr>
        <w:ind w:firstLine="640" w:firstLineChars="200"/>
        <w:rPr>
          <w:rFonts w:hint="eastAsia" w:ascii="仿宋_GB2312" w:hAnsi="Times New Roman" w:eastAsia="仿宋_GB2312" w:cs="Times New Roman"/>
          <w:sz w:val="32"/>
          <w:szCs w:val="32"/>
        </w:rPr>
      </w:pPr>
      <w:bookmarkStart w:id="117" w:name="_Toc8849"/>
      <w:bookmarkStart w:id="118" w:name="_Toc24369"/>
      <w:bookmarkStart w:id="119" w:name="_Toc17649"/>
      <w:bookmarkStart w:id="120" w:name="_Toc22392"/>
      <w:r>
        <w:rPr>
          <w:rFonts w:hint="eastAsia" w:ascii="仿宋_GB2312" w:hAnsi="Times New Roman" w:eastAsia="仿宋_GB2312" w:cs="Times New Roman"/>
          <w:sz w:val="32"/>
          <w:szCs w:val="32"/>
        </w:rPr>
        <w:t>二、绩效评价工作开展情况</w:t>
      </w:r>
      <w:bookmarkEnd w:id="117"/>
      <w:bookmarkEnd w:id="118"/>
      <w:bookmarkEnd w:id="119"/>
      <w:bookmarkEnd w:id="120"/>
    </w:p>
    <w:p>
      <w:pPr>
        <w:ind w:firstLine="640" w:firstLineChars="200"/>
        <w:rPr>
          <w:rFonts w:hint="eastAsia" w:ascii="仿宋_GB2312" w:hAnsi="Times New Roman" w:eastAsia="仿宋_GB2312" w:cs="Times New Roman"/>
          <w:sz w:val="32"/>
          <w:szCs w:val="32"/>
        </w:rPr>
      </w:pPr>
      <w:bookmarkStart w:id="121" w:name="_Toc25370"/>
      <w:bookmarkStart w:id="122" w:name="_Toc22811"/>
      <w:bookmarkStart w:id="123" w:name="_Toc2210"/>
      <w:bookmarkStart w:id="124" w:name="_Toc6567"/>
      <w:r>
        <w:rPr>
          <w:rFonts w:hint="eastAsia" w:ascii="仿宋_GB2312" w:hAnsi="Times New Roman" w:eastAsia="仿宋_GB2312" w:cs="Times New Roman"/>
          <w:sz w:val="32"/>
          <w:szCs w:val="32"/>
        </w:rPr>
        <w:t>（一）绩效评价目的、对象和范围</w:t>
      </w:r>
      <w:bookmarkEnd w:id="121"/>
      <w:bookmarkEnd w:id="122"/>
      <w:bookmarkEnd w:id="123"/>
      <w:bookmarkEnd w:id="124"/>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本次绩效评价的对象为</w:t>
      </w: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时间范围涵盖项目实施年度，重点评价项目资金决策、管理、产出和效果情况。通过开展项目绩效评价工作，总结经验，发现问题，为优化政策支持方向和预算资金安排，改进和加强管理提供重要参考依据，提高财政资金使用效益。</w:t>
      </w:r>
    </w:p>
    <w:p>
      <w:pPr>
        <w:ind w:firstLine="640" w:firstLineChars="200"/>
        <w:rPr>
          <w:rFonts w:hint="eastAsia" w:ascii="仿宋_GB2312" w:hAnsi="Times New Roman" w:eastAsia="仿宋_GB2312" w:cs="Times New Roman"/>
          <w:sz w:val="32"/>
          <w:szCs w:val="32"/>
        </w:rPr>
      </w:pPr>
      <w:bookmarkStart w:id="125" w:name="_Toc21960"/>
      <w:bookmarkStart w:id="126" w:name="_Toc21669"/>
      <w:bookmarkStart w:id="127" w:name="_Toc32166"/>
      <w:bookmarkStart w:id="128" w:name="_Toc1088"/>
      <w:r>
        <w:rPr>
          <w:rFonts w:hint="eastAsia" w:ascii="仿宋_GB2312" w:hAnsi="Times New Roman" w:eastAsia="仿宋_GB2312" w:cs="Times New Roman"/>
          <w:sz w:val="32"/>
          <w:szCs w:val="32"/>
        </w:rPr>
        <w:t>（二）绩效评价原则和评价方法</w:t>
      </w:r>
      <w:bookmarkEnd w:id="125"/>
      <w:bookmarkEnd w:id="126"/>
      <w:bookmarkEnd w:id="127"/>
      <w:bookmarkEnd w:id="128"/>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本次绩效评价遵循“科学公正、统筹兼顾、激励约束、公开透明”的原则。本次评价运用了成本效益分析法、因素分析法、公众评判法等方法，同时通过资料梳理、多因素分析来支撑评价的逻辑紧密性与客观性。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在评价过程中，通过实地考察、访谈、问卷调查等形式采集基础数据，以具有代表性与广泛性的数据，支撑指标体系的评分，实现客观科学的评价，全面反映</w:t>
      </w: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资金的决策、使用和取得的效益情况。评价指标体系及指标说明详见附表。</w:t>
      </w:r>
    </w:p>
    <w:p>
      <w:pPr>
        <w:ind w:firstLine="640" w:firstLineChars="200"/>
        <w:rPr>
          <w:rFonts w:hint="eastAsia" w:ascii="仿宋_GB2312" w:hAnsi="Times New Roman" w:eastAsia="仿宋_GB2312" w:cs="Times New Roman"/>
          <w:sz w:val="32"/>
          <w:szCs w:val="32"/>
        </w:rPr>
      </w:pPr>
      <w:bookmarkStart w:id="129" w:name="_Toc377"/>
      <w:bookmarkStart w:id="130" w:name="_Toc4993"/>
      <w:bookmarkStart w:id="131" w:name="_Toc19656"/>
      <w:bookmarkStart w:id="132" w:name="_Toc17072"/>
      <w:r>
        <w:rPr>
          <w:rFonts w:hint="eastAsia" w:ascii="仿宋_GB2312" w:hAnsi="Times New Roman" w:eastAsia="仿宋_GB2312" w:cs="Times New Roman"/>
          <w:sz w:val="32"/>
          <w:szCs w:val="32"/>
        </w:rPr>
        <w:t>（三）绩效评价工作过程</w:t>
      </w:r>
      <w:bookmarkEnd w:id="129"/>
      <w:bookmarkEnd w:id="130"/>
      <w:bookmarkEnd w:id="131"/>
      <w:bookmarkEnd w:id="132"/>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本次绩效评价共分</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个阶段来组织实施，分别是绩效评价准备、绩效评价现场实施、形成绩效评价报告初稿、绩效评价意见反馈和绩效评价报告形成。</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1</w:t>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rPr>
        <w:t>绩效评价准备</w:t>
      </w:r>
    </w:p>
    <w:p>
      <w:pPr>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组织评价小组对两庭及装备更新维护项目</w:t>
      </w:r>
      <w:r>
        <w:rPr>
          <w:rFonts w:hint="default" w:ascii="仿宋_GB2312" w:hAnsi="Times New Roman" w:eastAsia="仿宋_GB2312" w:cs="Times New Roman"/>
          <w:sz w:val="32"/>
          <w:szCs w:val="32"/>
        </w:rPr>
        <w:t>绩效评价培训，认真研读绩效评价实施方案，掌握了实施方案中相关内容，拟定评价资料清单；</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2</w:t>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rPr>
        <w:t>绩效评价现场实施</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评价小组听取情况汇报，查阅、收集、核实有关数据资料，组织现场勘察、面访、问卷调查，并向相关负责人了解与项目支出相关的信息情况。</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3</w:t>
      </w:r>
      <w:r>
        <w:rPr>
          <w:rFonts w:hint="default"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rPr>
        <w:t>形成绩效评价报告</w:t>
      </w:r>
    </w:p>
    <w:p>
      <w:pPr>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收集、整理、分析材料，计算评价指标分值，</w:t>
      </w:r>
      <w:r>
        <w:rPr>
          <w:rFonts w:hint="eastAsia" w:ascii="仿宋_GB2312" w:hAnsi="Times New Roman" w:eastAsia="仿宋_GB2312" w:cs="Times New Roman"/>
          <w:sz w:val="32"/>
          <w:szCs w:val="32"/>
          <w:lang w:val="en-US" w:eastAsia="zh-CN"/>
        </w:rPr>
        <w:t>编写</w:t>
      </w:r>
      <w:r>
        <w:rPr>
          <w:rFonts w:hint="default" w:ascii="仿宋_GB2312" w:hAnsi="Times New Roman" w:eastAsia="仿宋_GB2312" w:cs="Times New Roman"/>
          <w:sz w:val="32"/>
          <w:szCs w:val="32"/>
        </w:rPr>
        <w:t>绩效评价报告。</w:t>
      </w:r>
    </w:p>
    <w:p>
      <w:pPr>
        <w:ind w:firstLine="640" w:firstLineChars="200"/>
        <w:rPr>
          <w:rFonts w:hint="eastAsia" w:ascii="仿宋_GB2312" w:hAnsi="Times New Roman" w:eastAsia="仿宋_GB2312" w:cs="Times New Roman"/>
          <w:sz w:val="32"/>
          <w:szCs w:val="32"/>
        </w:rPr>
      </w:pPr>
      <w:bookmarkStart w:id="133" w:name="_Toc6008"/>
      <w:bookmarkStart w:id="134" w:name="_Toc21926"/>
      <w:bookmarkStart w:id="135" w:name="_Toc9214"/>
      <w:bookmarkStart w:id="136" w:name="_Toc28210"/>
      <w:r>
        <w:rPr>
          <w:rFonts w:hint="eastAsia" w:ascii="仿宋_GB2312" w:hAnsi="Times New Roman" w:eastAsia="仿宋_GB2312" w:cs="Times New Roman"/>
          <w:sz w:val="32"/>
          <w:szCs w:val="32"/>
        </w:rPr>
        <w:t>三、综合评价情况及评价结论</w:t>
      </w:r>
      <w:bookmarkEnd w:id="133"/>
      <w:bookmarkEnd w:id="134"/>
      <w:bookmarkEnd w:id="135"/>
      <w:bookmarkEnd w:id="136"/>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该项目的各细分项目属于经常性项目，实施内容明确，项目依据充分、目标明确、与政策要求高度相关。项目建设资金到位情况较好。项目实施依据的相关制度基本健全，项目实施管理较为规范。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该项目在</w:t>
      </w:r>
      <w:r>
        <w:rPr>
          <w:rFonts w:hint="default" w:ascii="仿宋_GB2312" w:hAnsi="Times New Roman" w:eastAsia="仿宋_GB2312" w:cs="Times New Roman"/>
          <w:sz w:val="32"/>
          <w:szCs w:val="32"/>
          <w:lang w:val="en-US" w:eastAsia="zh-CN"/>
        </w:rPr>
        <w:t>绩效目标</w:t>
      </w:r>
      <w:r>
        <w:rPr>
          <w:rFonts w:hint="eastAsia" w:ascii="仿宋_GB2312" w:hAnsi="Times New Roman" w:eastAsia="仿宋_GB2312" w:cs="Times New Roman"/>
          <w:sz w:val="32"/>
          <w:szCs w:val="32"/>
          <w:lang w:val="en-US" w:eastAsia="zh-CN"/>
        </w:rPr>
        <w:t>管理方面存在不足，年度绩效目标</w:t>
      </w:r>
      <w:r>
        <w:rPr>
          <w:rFonts w:hint="default" w:ascii="仿宋_GB2312" w:hAnsi="Times New Roman" w:eastAsia="仿宋_GB2312" w:cs="Times New Roman"/>
          <w:sz w:val="32"/>
          <w:szCs w:val="32"/>
          <w:lang w:val="en-US" w:eastAsia="zh-CN"/>
        </w:rPr>
        <w:t>设置</w:t>
      </w:r>
      <w:r>
        <w:rPr>
          <w:rFonts w:hint="eastAsia" w:ascii="仿宋_GB2312" w:hAnsi="Times New Roman" w:eastAsia="仿宋_GB2312" w:cs="Times New Roman"/>
          <w:sz w:val="32"/>
          <w:szCs w:val="32"/>
          <w:lang w:val="en-US" w:eastAsia="zh-CN"/>
        </w:rPr>
        <w:t>缺乏全面性和针对性，与</w:t>
      </w:r>
      <w:r>
        <w:rPr>
          <w:rFonts w:hint="default" w:ascii="仿宋_GB2312" w:hAnsi="Times New Roman" w:eastAsia="仿宋_GB2312" w:cs="Times New Roman"/>
          <w:sz w:val="32"/>
          <w:szCs w:val="32"/>
          <w:lang w:val="en-US" w:eastAsia="zh-CN"/>
        </w:rPr>
        <w:t>项目预期</w:t>
      </w:r>
      <w:r>
        <w:rPr>
          <w:rFonts w:hint="default" w:ascii="仿宋_GB2312" w:hAnsi="Times New Roman" w:eastAsia="仿宋_GB2312" w:cs="Times New Roman"/>
          <w:sz w:val="32"/>
          <w:szCs w:val="32"/>
        </w:rPr>
        <w:t>产出效益和效果匹配</w:t>
      </w:r>
      <w:r>
        <w:rPr>
          <w:rFonts w:hint="default" w:ascii="仿宋_GB2312" w:hAnsi="Times New Roman" w:eastAsia="仿宋_GB2312" w:cs="Times New Roman"/>
          <w:sz w:val="32"/>
          <w:szCs w:val="32"/>
          <w:lang w:val="en-US" w:eastAsia="zh-CN"/>
        </w:rPr>
        <w:t>度不</w:t>
      </w:r>
      <w:r>
        <w:rPr>
          <w:rFonts w:hint="eastAsia" w:ascii="仿宋_GB2312" w:hAnsi="Times New Roman" w:eastAsia="仿宋_GB2312" w:cs="Times New Roman"/>
          <w:sz w:val="32"/>
          <w:szCs w:val="32"/>
          <w:lang w:val="en-US" w:eastAsia="zh-CN"/>
        </w:rPr>
        <w:t>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根据对项目决策、项目过程、项目产出、项目效益各项绩效指标进行综合分析评判，项目总体评分为9</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8分，评价等级为“</w:t>
      </w:r>
      <w:r>
        <w:rPr>
          <w:rFonts w:hint="eastAsia" w:ascii="仿宋_GB2312" w:hAnsi="Times New Roman" w:eastAsia="仿宋_GB2312" w:cs="Times New Roman"/>
          <w:sz w:val="32"/>
          <w:szCs w:val="32"/>
          <w:lang w:val="en-US" w:eastAsia="zh-CN"/>
        </w:rPr>
        <w:t>优</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bookmarkStart w:id="137" w:name="_Toc14885"/>
      <w:bookmarkStart w:id="138" w:name="_Toc1857"/>
      <w:bookmarkStart w:id="139" w:name="_Toc10103"/>
      <w:bookmarkStart w:id="140" w:name="_Toc14689"/>
      <w:r>
        <w:rPr>
          <w:rFonts w:hint="eastAsia" w:ascii="仿宋_GB2312" w:hAnsi="Times New Roman" w:eastAsia="仿宋_GB2312" w:cs="Times New Roman"/>
          <w:sz w:val="32"/>
          <w:szCs w:val="32"/>
        </w:rPr>
        <w:t>四、绩效评价指标分析</w:t>
      </w:r>
      <w:bookmarkEnd w:id="137"/>
      <w:bookmarkEnd w:id="138"/>
      <w:bookmarkEnd w:id="139"/>
      <w:bookmarkEnd w:id="140"/>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从项目的决策、过程、产出和效益四个一级指标进行综合考核与评价，总分值100分。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评价项目决策情况评价总分21分，从项目立项、绩效目标、资金投入三个方面进行评价，其中项目立项占8分，包括立项依据充分性、 立项程序规范性2个指标；绩效目标占7分，包括绩效目标合理性、绩效指标明确性2个指标；资金投入占6分，包括预算编制科学性、资金分配合理性2个指标。</w:t>
      </w:r>
    </w:p>
    <w:p>
      <w:pPr>
        <w:ind w:firstLine="640" w:firstLineChars="200"/>
        <w:rPr>
          <w:rFonts w:hint="eastAsia" w:ascii="仿宋_GB2312" w:hAnsi="Times New Roman" w:eastAsia="仿宋_GB2312" w:cs="Times New Roman"/>
          <w:sz w:val="32"/>
          <w:szCs w:val="32"/>
        </w:rPr>
      </w:pPr>
      <w:bookmarkStart w:id="141" w:name="_Toc11617"/>
      <w:bookmarkStart w:id="142" w:name="_Toc21978"/>
      <w:bookmarkStart w:id="143" w:name="_Toc19218"/>
      <w:r>
        <w:rPr>
          <w:rFonts w:hint="eastAsia" w:ascii="仿宋_GB2312" w:hAnsi="Times New Roman" w:eastAsia="仿宋_GB2312" w:cs="Times New Roman"/>
          <w:sz w:val="32"/>
          <w:szCs w:val="32"/>
        </w:rPr>
        <w:t>五、主要经验及做法、存在的问题及原因分析</w:t>
      </w:r>
      <w:bookmarkEnd w:id="141"/>
      <w:bookmarkEnd w:id="142"/>
      <w:bookmarkEnd w:id="143"/>
    </w:p>
    <w:p>
      <w:pPr>
        <w:ind w:firstLine="640" w:firstLineChars="200"/>
        <w:rPr>
          <w:rFonts w:hint="eastAsia" w:ascii="仿宋_GB2312" w:hAnsi="Times New Roman" w:eastAsia="仿宋_GB2312" w:cs="Times New Roman"/>
          <w:sz w:val="32"/>
          <w:szCs w:val="32"/>
        </w:rPr>
      </w:pPr>
      <w:bookmarkStart w:id="144" w:name="_Toc22333"/>
      <w:bookmarkStart w:id="145" w:name="_Toc9134"/>
      <w:bookmarkStart w:id="146" w:name="_Toc9548"/>
      <w:r>
        <w:rPr>
          <w:rFonts w:hint="eastAsia" w:ascii="仿宋_GB2312" w:hAnsi="Times New Roman" w:eastAsia="仿宋_GB2312" w:cs="Times New Roman"/>
          <w:sz w:val="32"/>
          <w:szCs w:val="32"/>
        </w:rPr>
        <w:t>（一）主要经验及做法</w:t>
      </w:r>
      <w:bookmarkEnd w:id="144"/>
      <w:bookmarkEnd w:id="145"/>
      <w:bookmarkEnd w:id="146"/>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1.加强组织领导。要加强对项目工作的全面领导，便于及时发现项目执行过程中出现的问题并加以改进。严格按照财务管理制度实施，加强项目管理和监督，确保项目实施规范。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专款专用。严格按项目规范要求，做到专款专用，确保项目工作顺利开展。项目内所有支出都由报账员把关，再经分管领导审核，最后由主要领导复审，保证专款专用，无截留、无挪用等现象，取得了良好效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3.加强监督。对日常工作加强规范和监督，防止在项目执行过程中出现偏差。</w:t>
      </w:r>
    </w:p>
    <w:p>
      <w:pPr>
        <w:ind w:firstLine="640" w:firstLineChars="200"/>
        <w:rPr>
          <w:rFonts w:hint="eastAsia" w:ascii="仿宋_GB2312" w:hAnsi="Times New Roman" w:eastAsia="仿宋_GB2312" w:cs="Times New Roman"/>
          <w:sz w:val="32"/>
          <w:szCs w:val="32"/>
        </w:rPr>
      </w:pPr>
      <w:bookmarkStart w:id="147" w:name="_Toc26666"/>
      <w:bookmarkStart w:id="148" w:name="_Toc11707"/>
      <w:bookmarkStart w:id="149" w:name="_Toc13393"/>
      <w:r>
        <w:rPr>
          <w:rFonts w:hint="eastAsia" w:ascii="仿宋_GB2312" w:hAnsi="Times New Roman" w:eastAsia="仿宋_GB2312" w:cs="Times New Roman"/>
          <w:sz w:val="32"/>
          <w:szCs w:val="32"/>
        </w:rPr>
        <w:t>（二）存在的问题及原因分析</w:t>
      </w:r>
      <w:bookmarkEnd w:id="147"/>
      <w:bookmarkEnd w:id="148"/>
      <w:bookmarkEnd w:id="149"/>
    </w:p>
    <w:p>
      <w:pPr>
        <w:ind w:firstLine="640" w:firstLineChars="200"/>
        <w:rPr>
          <w:rFonts w:hint="eastAsia" w:ascii="仿宋_GB2312" w:hAnsi="Times New Roman" w:eastAsia="仿宋_GB2312" w:cs="Times New Roman"/>
          <w:sz w:val="32"/>
          <w:szCs w:val="32"/>
        </w:rPr>
      </w:pPr>
      <w:bookmarkStart w:id="150" w:name="_Toc28872"/>
      <w:r>
        <w:rPr>
          <w:rFonts w:hint="eastAsia" w:ascii="仿宋_GB2312" w:hAnsi="Times New Roman" w:eastAsia="仿宋_GB2312" w:cs="Times New Roman"/>
          <w:sz w:val="32"/>
          <w:szCs w:val="32"/>
        </w:rPr>
        <w:t>1.项目预算编制缺乏准确性</w:t>
      </w:r>
      <w:bookmarkEnd w:id="150"/>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2022年</w:t>
      </w:r>
      <w:r>
        <w:rPr>
          <w:rFonts w:hint="eastAsia" w:ascii="仿宋_GB2312" w:hAnsi="Times New Roman" w:eastAsia="仿宋_GB2312" w:cs="Times New Roman"/>
          <w:sz w:val="32"/>
          <w:szCs w:val="32"/>
        </w:rPr>
        <w:t>度项目预算数为</w:t>
      </w:r>
      <w:r>
        <w:rPr>
          <w:rFonts w:hint="eastAsia" w:ascii="仿宋_GB2312" w:hAnsi="Times New Roman" w:eastAsia="仿宋_GB2312" w:cs="Times New Roman"/>
          <w:sz w:val="32"/>
          <w:szCs w:val="32"/>
          <w:lang w:val="en-US" w:eastAsia="zh-CN"/>
        </w:rPr>
        <w:t>404.33</w:t>
      </w:r>
      <w:r>
        <w:rPr>
          <w:rFonts w:hint="eastAsia" w:ascii="仿宋_GB2312" w:hAnsi="Times New Roman" w:eastAsia="仿宋_GB2312" w:cs="Times New Roman"/>
          <w:sz w:val="32"/>
          <w:szCs w:val="32"/>
        </w:rPr>
        <w:t>万元，实际执行数为</w:t>
      </w:r>
      <w:r>
        <w:rPr>
          <w:rFonts w:hint="eastAsia" w:ascii="仿宋_GB2312" w:hAnsi="Times New Roman" w:eastAsia="仿宋_GB2312" w:cs="Times New Roman"/>
          <w:sz w:val="32"/>
          <w:szCs w:val="32"/>
          <w:lang w:val="en-US" w:eastAsia="zh-CN"/>
        </w:rPr>
        <w:t>404.33</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但内部调整调剂次数达到54次，</w:t>
      </w:r>
      <w:r>
        <w:rPr>
          <w:rFonts w:hint="eastAsia" w:ascii="仿宋_GB2312" w:hAnsi="Times New Roman" w:eastAsia="仿宋_GB2312" w:cs="Times New Roman"/>
          <w:sz w:val="32"/>
          <w:szCs w:val="32"/>
        </w:rPr>
        <w:t>预算编制缺依据乏对项目运行的资金需求充分了解和掌控，导致项目存在大量资金的调整调剂。</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原因分析：预算编制人员在预算编制时对项目的全过程缺乏充分了解、分析和调研。</w:t>
      </w:r>
    </w:p>
    <w:p>
      <w:pPr>
        <w:ind w:firstLine="640" w:firstLineChars="200"/>
        <w:rPr>
          <w:rFonts w:hint="eastAsia" w:ascii="仿宋_GB2312" w:hAnsi="Times New Roman" w:eastAsia="仿宋_GB2312" w:cs="Times New Roman"/>
          <w:sz w:val="32"/>
          <w:szCs w:val="32"/>
        </w:rPr>
      </w:pPr>
      <w:bookmarkStart w:id="151" w:name="_Toc28035"/>
      <w:r>
        <w:rPr>
          <w:rFonts w:hint="eastAsia" w:ascii="仿宋_GB2312" w:hAnsi="Times New Roman" w:eastAsia="仿宋_GB2312" w:cs="Times New Roman"/>
          <w:sz w:val="32"/>
          <w:szCs w:val="32"/>
        </w:rPr>
        <w:t>2.项目绩效指标编制缺乏全面性</w:t>
      </w:r>
      <w:bookmarkEnd w:id="151"/>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行政运行项目</w:t>
      </w:r>
      <w:r>
        <w:rPr>
          <w:rFonts w:hint="eastAsia" w:ascii="仿宋_GB2312" w:hAnsi="Times New Roman" w:eastAsia="仿宋_GB2312" w:cs="Times New Roman"/>
          <w:sz w:val="32"/>
          <w:szCs w:val="32"/>
        </w:rPr>
        <w:t>设置的绩效目标为：按月给劳务派遣人员发放工资=12月；协助办理案件量≥1万件</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个指标，指标设置不足以反映项目执行的全面要求，存在预算执行过程中</w:t>
      </w:r>
      <w:r>
        <w:rPr>
          <w:rFonts w:hint="eastAsia" w:ascii="仿宋_GB2312" w:hAnsi="Times New Roman" w:eastAsia="仿宋_GB2312" w:cs="Times New Roman"/>
          <w:sz w:val="32"/>
          <w:szCs w:val="32"/>
          <w:lang w:val="en-US" w:eastAsia="zh-CN"/>
        </w:rPr>
        <w:t>绩效目标设置不全面</w:t>
      </w:r>
      <w:r>
        <w:rPr>
          <w:rFonts w:hint="eastAsia" w:ascii="仿宋_GB2312" w:hAnsi="Times New Roman" w:eastAsia="仿宋_GB2312" w:cs="Times New Roman"/>
          <w:sz w:val="32"/>
          <w:szCs w:val="32"/>
        </w:rPr>
        <w:t>的风险。</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原因分析：</w:t>
      </w:r>
      <w:r>
        <w:rPr>
          <w:rFonts w:hint="eastAsia" w:ascii="仿宋_GB2312" w:hAnsi="Times New Roman" w:eastAsia="仿宋_GB2312" w:cs="Times New Roman"/>
          <w:sz w:val="32"/>
          <w:szCs w:val="32"/>
          <w:lang w:val="en-US" w:eastAsia="zh-CN"/>
        </w:rPr>
        <w:t>一是</w:t>
      </w:r>
      <w:r>
        <w:rPr>
          <w:rFonts w:hint="eastAsia" w:ascii="仿宋_GB2312" w:hAnsi="Times New Roman" w:eastAsia="仿宋_GB2312" w:cs="Times New Roman"/>
          <w:sz w:val="32"/>
          <w:szCs w:val="32"/>
        </w:rPr>
        <w:t>绩效指标制定人员对绩效目标对项目质量落实的促进作用缺乏充分的认识；</w:t>
      </w:r>
      <w:r>
        <w:rPr>
          <w:rFonts w:hint="eastAsia" w:ascii="仿宋_GB2312" w:hAnsi="Times New Roman" w:eastAsia="仿宋_GB2312" w:cs="Times New Roman"/>
          <w:sz w:val="32"/>
          <w:szCs w:val="32"/>
          <w:lang w:val="en-US" w:eastAsia="zh-CN"/>
        </w:rPr>
        <w:t>二是对</w:t>
      </w:r>
      <w:r>
        <w:rPr>
          <w:rFonts w:hint="eastAsia" w:ascii="仿宋_GB2312" w:hAnsi="Times New Roman" w:eastAsia="仿宋_GB2312" w:cs="Times New Roman"/>
          <w:sz w:val="32"/>
          <w:szCs w:val="32"/>
        </w:rPr>
        <w:t>预算管理一体化系统绩效目标的制定方法不熟悉。</w:t>
      </w:r>
    </w:p>
    <w:p>
      <w:pPr>
        <w:ind w:firstLine="640" w:firstLineChars="200"/>
        <w:rPr>
          <w:rFonts w:hint="eastAsia" w:ascii="仿宋_GB2312" w:hAnsi="Times New Roman" w:eastAsia="仿宋_GB2312" w:cs="Times New Roman"/>
          <w:sz w:val="32"/>
          <w:szCs w:val="32"/>
        </w:rPr>
      </w:pPr>
      <w:bookmarkStart w:id="152" w:name="_Toc27519"/>
      <w:bookmarkStart w:id="153" w:name="_Toc4819"/>
      <w:bookmarkStart w:id="154" w:name="_Toc21725"/>
      <w:r>
        <w:rPr>
          <w:rFonts w:hint="eastAsia" w:ascii="仿宋_GB2312" w:hAnsi="Times New Roman" w:eastAsia="仿宋_GB2312" w:cs="Times New Roman"/>
          <w:sz w:val="32"/>
          <w:szCs w:val="32"/>
        </w:rPr>
        <w:t>六、有关建议</w:t>
      </w:r>
      <w:bookmarkEnd w:id="152"/>
      <w:bookmarkEnd w:id="153"/>
      <w:bookmarkEnd w:id="154"/>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加强预算管理一体化系统使用人员的培训和指导，充分发挥系统各模块在预算管理中的作用。认真分析项目的产出与绩效指标的关系，设定的绩效指杯要与实际工作内容具有相关性，并且要清晰、细化、具有可衡量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（二）积极开展绩效跟踪监控，针对项目特点设定分阶段的项目具体实施内容，清晰、明确填报每个阶段的项目实施内容、关键指标值，按月按季地编制部门报表，及时发现执行过程中的问题，强化运行监管。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（三）建议推进中期财政规划管理，按月按季地编制部门报表，及时发现执行过程中的问题，强化年度预算的约束性，以提高预算编制的准确度从而减少预算调剂的次数。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（四）提高预算编制的科学性。建议在对次年预算编制和申报过程中，要对预算项目采用科学的计算模型，充分了解项目的各个环节资金需求，确保资金需求的准确性。</w:t>
      </w:r>
    </w:p>
    <w:p>
      <w:pPr>
        <w:ind w:firstLine="640" w:firstLineChars="200"/>
        <w:rPr>
          <w:rFonts w:hint="eastAsia" w:ascii="仿宋_GB2312" w:hAnsi="Times New Roman" w:eastAsia="仿宋_GB2312" w:cs="Times New Roman"/>
          <w:sz w:val="32"/>
          <w:szCs w:val="32"/>
        </w:rPr>
      </w:pPr>
      <w:bookmarkStart w:id="155" w:name="_Toc7952"/>
      <w:bookmarkStart w:id="156" w:name="_Toc14498"/>
      <w:bookmarkStart w:id="157" w:name="_Toc17662"/>
      <w:r>
        <w:rPr>
          <w:rFonts w:hint="eastAsia" w:ascii="仿宋_GB2312" w:hAnsi="Times New Roman" w:eastAsia="仿宋_GB2312" w:cs="Times New Roman"/>
          <w:sz w:val="32"/>
          <w:szCs w:val="32"/>
        </w:rPr>
        <w:t>七、其他需要说明的问题</w:t>
      </w:r>
      <w:bookmarkEnd w:id="155"/>
      <w:bookmarkEnd w:id="156"/>
      <w:bookmarkEnd w:id="157"/>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无</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p>
    <w:p>
      <w:pPr>
        <w:ind w:firstLine="643" w:firstLineChars="200"/>
        <w:jc w:val="center"/>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聘用制书记员管理项目绩效评价报告</w:t>
      </w:r>
    </w:p>
    <w:p>
      <w:pPr>
        <w:ind w:firstLine="640" w:firstLineChars="200"/>
        <w:rPr>
          <w:rFonts w:hint="eastAsia" w:ascii="仿宋_GB2312" w:hAnsi="Times New Roman" w:eastAsia="仿宋_GB2312" w:cs="Times New Roman"/>
          <w:sz w:val="32"/>
          <w:szCs w:val="32"/>
        </w:rPr>
      </w:pPr>
      <w:bookmarkStart w:id="158" w:name="_Toc10738"/>
      <w:r>
        <w:rPr>
          <w:rFonts w:hint="eastAsia" w:ascii="仿宋_GB2312" w:hAnsi="Times New Roman" w:eastAsia="仿宋_GB2312" w:cs="Times New Roman"/>
          <w:sz w:val="32"/>
          <w:szCs w:val="32"/>
        </w:rPr>
        <w:t>一、基本情况</w:t>
      </w:r>
      <w:bookmarkEnd w:id="158"/>
    </w:p>
    <w:p>
      <w:pPr>
        <w:ind w:firstLine="640" w:firstLineChars="200"/>
        <w:rPr>
          <w:rFonts w:hint="eastAsia" w:ascii="仿宋_GB2312" w:hAnsi="Times New Roman" w:eastAsia="仿宋_GB2312" w:cs="Times New Roman"/>
          <w:sz w:val="32"/>
          <w:szCs w:val="32"/>
        </w:rPr>
      </w:pPr>
      <w:bookmarkStart w:id="159" w:name="_Toc28144"/>
      <w:r>
        <w:rPr>
          <w:rFonts w:hint="eastAsia" w:ascii="仿宋_GB2312" w:hAnsi="Times New Roman" w:eastAsia="仿宋_GB2312" w:cs="Times New Roman"/>
          <w:sz w:val="32"/>
          <w:szCs w:val="32"/>
        </w:rPr>
        <w:t>（一）项目概况</w:t>
      </w:r>
      <w:bookmarkEnd w:id="159"/>
    </w:p>
    <w:p>
      <w:pPr>
        <w:ind w:firstLine="640" w:firstLineChars="200"/>
        <w:rPr>
          <w:rFonts w:hint="eastAsia" w:ascii="仿宋_GB2312" w:hAnsi="Times New Roman" w:eastAsia="仿宋_GB2312" w:cs="Times New Roman"/>
          <w:sz w:val="32"/>
          <w:szCs w:val="32"/>
        </w:rPr>
      </w:pPr>
      <w:bookmarkStart w:id="160" w:name="_Toc8602"/>
      <w:r>
        <w:rPr>
          <w:rFonts w:hint="eastAsia" w:ascii="仿宋_GB2312" w:hAnsi="Times New Roman" w:eastAsia="仿宋_GB2312" w:cs="Times New Roman"/>
          <w:sz w:val="32"/>
          <w:szCs w:val="32"/>
        </w:rPr>
        <w:t>1.项目背景</w:t>
      </w:r>
      <w:bookmarkEnd w:id="160"/>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三亚市城郊人民法院单位内设有办公室、政治部、机关党委、立案庭、刑事审判庭、民事审判庭、行政审判庭、执行局、旅游审判庭、审判管理办公室、吉阳人民法庭、天涯人民法庭、崖城人民法庭、海棠湾人民法庭和司法法警大队15个部门</w:t>
      </w:r>
      <w:r>
        <w:rPr>
          <w:rFonts w:hint="eastAsia" w:ascii="仿宋_GB2312" w:hAnsi="Times New Roman" w:eastAsia="仿宋_GB2312" w:cs="Times New Roman"/>
          <w:sz w:val="32"/>
          <w:szCs w:val="32"/>
        </w:rPr>
        <w:t>，内部分工明确。该项目基于工作职能和任务要求，不断完善司法人员分类管理，推动聘用制书记员管理制度化、规范化</w:t>
      </w:r>
      <w:r>
        <w:rPr>
          <w:rFonts w:hint="eastAsia" w:ascii="仿宋_GB2312" w:hAnsi="Times New Roman" w:eastAsia="仿宋_GB2312" w:cs="Times New Roman"/>
          <w:sz w:val="32"/>
          <w:szCs w:val="32"/>
          <w:lang w:eastAsia="zh-CN"/>
        </w:rPr>
        <w:t>。</w:t>
      </w:r>
    </w:p>
    <w:p>
      <w:pPr>
        <w:ind w:firstLine="640" w:firstLineChars="200"/>
        <w:rPr>
          <w:rFonts w:hint="eastAsia" w:ascii="仿宋_GB2312" w:hAnsi="Times New Roman" w:eastAsia="仿宋_GB2312" w:cs="Times New Roman"/>
          <w:sz w:val="32"/>
          <w:szCs w:val="32"/>
        </w:rPr>
      </w:pPr>
      <w:bookmarkStart w:id="161" w:name="_Toc29471"/>
      <w:r>
        <w:rPr>
          <w:rFonts w:hint="eastAsia" w:ascii="仿宋_GB2312" w:hAnsi="Times New Roman" w:eastAsia="仿宋_GB2312" w:cs="Times New Roman"/>
          <w:sz w:val="32"/>
          <w:szCs w:val="32"/>
        </w:rPr>
        <w:t>2.主要内容及实施情况</w:t>
      </w:r>
      <w:bookmarkEnd w:id="161"/>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该项目属于经常性支出项目</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用于支付聘用制书记员</w:t>
      </w:r>
      <w:r>
        <w:rPr>
          <w:rFonts w:hint="eastAsia" w:ascii="仿宋_GB2312" w:hAnsi="Times New Roman" w:eastAsia="仿宋_GB2312" w:cs="Times New Roman"/>
          <w:sz w:val="32"/>
          <w:szCs w:val="32"/>
          <w:lang w:val="en-US" w:eastAsia="zh-CN"/>
        </w:rPr>
        <w:t>用餐</w:t>
      </w:r>
      <w:r>
        <w:rPr>
          <w:rFonts w:hint="eastAsia" w:ascii="仿宋_GB2312" w:hAnsi="Times New Roman" w:eastAsia="仿宋_GB2312" w:cs="Times New Roman"/>
          <w:sz w:val="32"/>
          <w:szCs w:val="32"/>
        </w:rPr>
        <w:t>、公用经费、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医疗、</w:t>
      </w:r>
      <w:r>
        <w:rPr>
          <w:rFonts w:hint="eastAsia" w:ascii="仿宋_GB2312" w:hAnsi="Times New Roman" w:eastAsia="仿宋_GB2312" w:cs="Times New Roman"/>
          <w:sz w:val="32"/>
          <w:szCs w:val="32"/>
        </w:rPr>
        <w:t>服装、装备等相关支出。</w:t>
      </w:r>
      <w:r>
        <w:rPr>
          <w:rFonts w:hint="eastAsia" w:ascii="仿宋_GB2312" w:hAnsi="Times New Roman" w:eastAsia="仿宋_GB2312" w:cs="Times New Roman"/>
          <w:sz w:val="32"/>
          <w:szCs w:val="32"/>
          <w:lang w:val="en-US" w:eastAsia="zh-CN"/>
        </w:rPr>
        <w:t>2022年</w:t>
      </w:r>
      <w:r>
        <w:rPr>
          <w:rFonts w:hint="eastAsia" w:ascii="仿宋_GB2312" w:hAnsi="Times New Roman" w:eastAsia="仿宋_GB2312" w:cs="Times New Roman"/>
          <w:sz w:val="32"/>
          <w:szCs w:val="32"/>
        </w:rPr>
        <w:t>完成</w:t>
      </w:r>
      <w:r>
        <w:rPr>
          <w:rFonts w:hint="eastAsia" w:ascii="仿宋_GB2312" w:hAnsi="Times New Roman" w:eastAsia="仿宋_GB2312" w:cs="Times New Roman"/>
          <w:sz w:val="32"/>
          <w:szCs w:val="32"/>
          <w:lang w:val="en-US" w:eastAsia="zh-CN"/>
        </w:rPr>
        <w:t>了</w:t>
      </w:r>
      <w:r>
        <w:rPr>
          <w:rFonts w:hint="eastAsia" w:ascii="仿宋_GB2312" w:hAnsi="Times New Roman" w:eastAsia="仿宋_GB2312" w:cs="Times New Roman"/>
          <w:sz w:val="32"/>
          <w:szCs w:val="32"/>
        </w:rPr>
        <w:t>聘用制书记员</w:t>
      </w:r>
      <w:r>
        <w:rPr>
          <w:rFonts w:hint="eastAsia" w:ascii="仿宋_GB2312" w:hAnsi="Times New Roman" w:eastAsia="仿宋_GB2312" w:cs="Times New Roman"/>
          <w:sz w:val="32"/>
          <w:szCs w:val="32"/>
          <w:lang w:val="en-US" w:eastAsia="zh-CN"/>
        </w:rPr>
        <w:t>管理项目</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办公费、差旅费、午餐费、午餐费、医疗费、工会经费</w:t>
      </w:r>
      <w:r>
        <w:rPr>
          <w:rFonts w:hint="eastAsia" w:ascii="仿宋_GB2312" w:hAnsi="Times New Roman" w:eastAsia="仿宋_GB2312" w:cs="Times New Roman"/>
          <w:sz w:val="32"/>
          <w:szCs w:val="32"/>
        </w:rPr>
        <w:t>支出，保障</w:t>
      </w:r>
      <w:r>
        <w:rPr>
          <w:rFonts w:hint="eastAsia" w:ascii="仿宋_GB2312" w:hAnsi="Times New Roman" w:eastAsia="仿宋_GB2312" w:cs="Times New Roman"/>
          <w:sz w:val="32"/>
          <w:szCs w:val="32"/>
          <w:lang w:val="en-US" w:eastAsia="zh-CN"/>
        </w:rPr>
        <w:t>了</w:t>
      </w:r>
      <w:r>
        <w:rPr>
          <w:rFonts w:hint="eastAsia" w:ascii="仿宋_GB2312" w:hAnsi="Times New Roman" w:eastAsia="仿宋_GB2312" w:cs="Times New Roman"/>
          <w:sz w:val="32"/>
          <w:szCs w:val="32"/>
        </w:rPr>
        <w:t>聘用制书记员</w:t>
      </w:r>
      <w:r>
        <w:rPr>
          <w:rFonts w:hint="eastAsia" w:ascii="仿宋_GB2312" w:hAnsi="Times New Roman" w:eastAsia="仿宋_GB2312" w:cs="Times New Roman"/>
          <w:sz w:val="32"/>
          <w:szCs w:val="32"/>
          <w:lang w:val="en-US" w:eastAsia="zh-CN"/>
        </w:rPr>
        <w:t>管理项目</w:t>
      </w:r>
      <w:r>
        <w:rPr>
          <w:rFonts w:hint="eastAsia" w:ascii="仿宋_GB2312" w:hAnsi="Times New Roman" w:eastAsia="仿宋_GB2312" w:cs="Times New Roman"/>
          <w:sz w:val="32"/>
          <w:szCs w:val="32"/>
        </w:rPr>
        <w:t>的正常运行。</w:t>
      </w:r>
    </w:p>
    <w:p>
      <w:pPr>
        <w:ind w:firstLine="640" w:firstLineChars="200"/>
        <w:rPr>
          <w:rFonts w:hint="eastAsia" w:ascii="仿宋_GB2312" w:hAnsi="Times New Roman" w:eastAsia="仿宋_GB2312" w:cs="Times New Roman"/>
          <w:sz w:val="32"/>
          <w:szCs w:val="32"/>
        </w:rPr>
      </w:pPr>
      <w:bookmarkStart w:id="162" w:name="_Toc14004"/>
      <w:r>
        <w:rPr>
          <w:rFonts w:hint="eastAsia" w:ascii="仿宋_GB2312" w:hAnsi="Times New Roman" w:eastAsia="仿宋_GB2312" w:cs="Times New Roman"/>
          <w:sz w:val="32"/>
          <w:szCs w:val="32"/>
        </w:rPr>
        <w:t>3.资金投入和使用情况</w:t>
      </w:r>
      <w:bookmarkEnd w:id="162"/>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根据202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年度《可执行指标执行情况表》，</w:t>
      </w:r>
      <w:r>
        <w:rPr>
          <w:rFonts w:hint="eastAsia" w:ascii="仿宋_GB2312" w:hAnsi="Times New Roman" w:eastAsia="仿宋_GB2312" w:cs="Times New Roman"/>
          <w:sz w:val="32"/>
          <w:szCs w:val="32"/>
          <w:lang w:val="en-US" w:eastAsia="zh-CN"/>
        </w:rPr>
        <w:t>聘用制书记员管理</w:t>
      </w:r>
      <w:r>
        <w:rPr>
          <w:rFonts w:hint="eastAsia" w:ascii="仿宋_GB2312" w:hAnsi="Times New Roman" w:eastAsia="仿宋_GB2312" w:cs="Times New Roman"/>
          <w:sz w:val="32"/>
          <w:szCs w:val="32"/>
        </w:rPr>
        <w:t>项目预算资金共1</w:t>
      </w:r>
      <w:r>
        <w:rPr>
          <w:rFonts w:hint="eastAsia" w:ascii="仿宋_GB2312" w:hAnsi="Times New Roman" w:eastAsia="仿宋_GB2312" w:cs="Times New Roman"/>
          <w:sz w:val="32"/>
          <w:szCs w:val="32"/>
          <w:lang w:val="en-US" w:eastAsia="zh-CN"/>
        </w:rPr>
        <w:t>00.00万</w:t>
      </w:r>
      <w:r>
        <w:rPr>
          <w:rFonts w:hint="eastAsia" w:ascii="仿宋_GB2312" w:hAnsi="Times New Roman" w:eastAsia="仿宋_GB2312" w:cs="Times New Roman"/>
          <w:sz w:val="32"/>
          <w:szCs w:val="32"/>
        </w:rPr>
        <w:t>元，全部为</w:t>
      </w:r>
      <w:r>
        <w:rPr>
          <w:rFonts w:hint="eastAsia" w:ascii="仿宋_GB2312" w:hAnsi="Times New Roman" w:eastAsia="仿宋_GB2312" w:cs="Times New Roman"/>
          <w:sz w:val="32"/>
          <w:szCs w:val="32"/>
          <w:lang w:val="en-US" w:eastAsia="zh-CN"/>
        </w:rPr>
        <w:t>省</w:t>
      </w:r>
      <w:r>
        <w:rPr>
          <w:rFonts w:hint="eastAsia" w:ascii="仿宋_GB2312" w:hAnsi="Times New Roman" w:eastAsia="仿宋_GB2312" w:cs="Times New Roman"/>
          <w:sz w:val="32"/>
          <w:szCs w:val="32"/>
        </w:rPr>
        <w:t>级资金，202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w:t>
      </w:r>
      <w:r>
        <w:rPr>
          <w:rFonts w:hint="eastAsia" w:ascii="仿宋_GB2312" w:hAnsi="Times New Roman" w:eastAsia="仿宋_GB2312" w:cs="Times New Roman"/>
          <w:sz w:val="32"/>
          <w:szCs w:val="32"/>
          <w:lang w:val="en-US" w:eastAsia="zh-CN"/>
        </w:rPr>
        <w:t>项目内部科目</w:t>
      </w:r>
      <w:r>
        <w:rPr>
          <w:rFonts w:hint="eastAsia" w:ascii="仿宋_GB2312" w:hAnsi="Times New Roman" w:eastAsia="仿宋_GB2312" w:cs="Times New Roman"/>
          <w:sz w:val="32"/>
          <w:szCs w:val="32"/>
        </w:rPr>
        <w:t>调剂资金</w:t>
      </w:r>
      <w:r>
        <w:rPr>
          <w:rFonts w:hint="eastAsia" w:ascii="仿宋_GB2312" w:hAnsi="Times New Roman" w:eastAsia="仿宋_GB2312" w:cs="Times New Roman"/>
          <w:sz w:val="32"/>
          <w:szCs w:val="32"/>
          <w:lang w:val="en-US" w:eastAsia="zh-CN"/>
        </w:rPr>
        <w:t>23.98万</w:t>
      </w:r>
      <w:r>
        <w:rPr>
          <w:rFonts w:hint="eastAsia" w:ascii="仿宋_GB2312" w:hAnsi="Times New Roman" w:eastAsia="仿宋_GB2312" w:cs="Times New Roman"/>
          <w:sz w:val="32"/>
          <w:szCs w:val="32"/>
        </w:rPr>
        <w:t>元，调整后预算资金1</w:t>
      </w:r>
      <w:r>
        <w:rPr>
          <w:rFonts w:hint="eastAsia" w:ascii="仿宋_GB2312" w:hAnsi="Times New Roman" w:eastAsia="仿宋_GB2312" w:cs="Times New Roman"/>
          <w:sz w:val="32"/>
          <w:szCs w:val="32"/>
          <w:lang w:val="en-US" w:eastAsia="zh-CN"/>
        </w:rPr>
        <w:t>00.00万</w:t>
      </w:r>
      <w:r>
        <w:rPr>
          <w:rFonts w:hint="eastAsia" w:ascii="仿宋_GB2312" w:hAnsi="Times New Roman" w:eastAsia="仿宋_GB2312" w:cs="Times New Roman"/>
          <w:sz w:val="32"/>
          <w:szCs w:val="32"/>
        </w:rPr>
        <w:t>元，实际支出资金</w:t>
      </w:r>
      <w:r>
        <w:rPr>
          <w:rFonts w:hint="eastAsia" w:ascii="仿宋_GB2312" w:hAnsi="Times New Roman" w:eastAsia="仿宋_GB2312" w:cs="Times New Roman"/>
          <w:sz w:val="32"/>
          <w:szCs w:val="32"/>
          <w:lang w:val="en-US" w:eastAsia="zh-CN"/>
        </w:rPr>
        <w:t>97.71万</w:t>
      </w:r>
      <w:r>
        <w:rPr>
          <w:rFonts w:hint="eastAsia" w:ascii="仿宋_GB2312" w:hAnsi="Times New Roman" w:eastAsia="仿宋_GB2312" w:cs="Times New Roman"/>
          <w:sz w:val="32"/>
          <w:szCs w:val="32"/>
        </w:rPr>
        <w:t>元，支出率</w:t>
      </w:r>
      <w:r>
        <w:rPr>
          <w:rFonts w:hint="eastAsia" w:ascii="仿宋_GB2312" w:hAnsi="Times New Roman" w:eastAsia="仿宋_GB2312" w:cs="Times New Roman"/>
          <w:sz w:val="32"/>
          <w:szCs w:val="32"/>
          <w:lang w:val="en-US" w:eastAsia="zh-CN"/>
        </w:rPr>
        <w:t>97.71</w:t>
      </w:r>
      <w:r>
        <w:rPr>
          <w:rFonts w:hint="eastAsia" w:ascii="仿宋_GB2312" w:hAnsi="Times New Roman" w:eastAsia="仿宋_GB2312" w:cs="Times New Roman"/>
          <w:sz w:val="32"/>
          <w:szCs w:val="32"/>
        </w:rPr>
        <w:t>%，剩余资金</w:t>
      </w:r>
      <w:r>
        <w:rPr>
          <w:rFonts w:hint="eastAsia" w:ascii="仿宋_GB2312" w:hAnsi="Times New Roman" w:eastAsia="仿宋_GB2312" w:cs="Times New Roman"/>
          <w:sz w:val="32"/>
          <w:szCs w:val="32"/>
          <w:lang w:val="en-US" w:eastAsia="zh-CN"/>
        </w:rPr>
        <w:t>22.93</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ind w:firstLine="640" w:firstLineChars="200"/>
        <w:rPr>
          <w:rFonts w:hint="eastAsia" w:ascii="仿宋_GB2312" w:hAnsi="Times New Roman" w:eastAsia="仿宋_GB2312" w:cs="Times New Roman"/>
          <w:sz w:val="32"/>
          <w:szCs w:val="32"/>
        </w:rPr>
      </w:pPr>
      <w:bookmarkStart w:id="163" w:name="_Toc2679"/>
      <w:r>
        <w:rPr>
          <w:rFonts w:hint="eastAsia" w:ascii="仿宋_GB2312" w:hAnsi="Times New Roman" w:eastAsia="仿宋_GB2312" w:cs="Times New Roman"/>
          <w:sz w:val="32"/>
          <w:szCs w:val="32"/>
        </w:rPr>
        <w:t>（二）项目绩效目标</w:t>
      </w:r>
      <w:bookmarkEnd w:id="163"/>
    </w:p>
    <w:p>
      <w:pPr>
        <w:ind w:firstLine="640" w:firstLineChars="200"/>
        <w:rPr>
          <w:rFonts w:hint="eastAsia" w:ascii="仿宋_GB2312" w:hAnsi="Times New Roman" w:eastAsia="仿宋_GB2312" w:cs="Times New Roman"/>
          <w:sz w:val="32"/>
          <w:szCs w:val="32"/>
        </w:rPr>
      </w:pPr>
      <w:bookmarkStart w:id="164" w:name="_Toc7899"/>
      <w:r>
        <w:rPr>
          <w:rFonts w:hint="eastAsia" w:ascii="仿宋_GB2312" w:hAnsi="Times New Roman" w:eastAsia="仿宋_GB2312" w:cs="Times New Roman"/>
          <w:sz w:val="32"/>
          <w:szCs w:val="32"/>
        </w:rPr>
        <w:t>1.项目实施总目标</w:t>
      </w:r>
      <w:bookmarkEnd w:id="164"/>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根据预算管理一体化系统查询，聘用制书记员管理项目设置的总体目标为：做好聘用制书记员相关支出工作。</w:t>
      </w:r>
    </w:p>
    <w:p>
      <w:pPr>
        <w:ind w:firstLine="640" w:firstLineChars="200"/>
        <w:rPr>
          <w:rFonts w:hint="eastAsia" w:ascii="仿宋_GB2312" w:hAnsi="Times New Roman" w:eastAsia="仿宋_GB2312" w:cs="Times New Roman"/>
          <w:sz w:val="32"/>
          <w:szCs w:val="32"/>
        </w:rPr>
      </w:pPr>
      <w:bookmarkStart w:id="165" w:name="_Toc12568"/>
      <w:r>
        <w:rPr>
          <w:rFonts w:hint="eastAsia" w:ascii="仿宋_GB2312" w:hAnsi="Times New Roman" w:eastAsia="仿宋_GB2312" w:cs="Times New Roman"/>
          <w:sz w:val="32"/>
          <w:szCs w:val="32"/>
        </w:rPr>
        <w:t>2.项目年初具体绩效目标和绩效指标为：</w:t>
      </w:r>
      <w:bookmarkEnd w:id="165"/>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根据预算管理一体化系统查询，聘用制书记员管理</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设置的绩效目标为：</w:t>
      </w:r>
    </w:p>
    <w:p>
      <w:pPr>
        <w:ind w:firstLine="640" w:firstLineChars="200"/>
        <w:rPr>
          <w:rFonts w:hint="eastAsia" w:ascii="仿宋_GB2312" w:hAnsi="Times New Roman" w:eastAsia="仿宋_GB2312" w:cs="Times New Roman"/>
          <w:sz w:val="32"/>
          <w:szCs w:val="32"/>
        </w:rPr>
      </w:pPr>
      <w:bookmarkStart w:id="166" w:name="_Toc20692"/>
      <w:r>
        <w:rPr>
          <w:rFonts w:hint="eastAsia" w:ascii="仿宋_GB2312" w:hAnsi="Times New Roman" w:eastAsia="仿宋_GB2312" w:cs="Times New Roman"/>
          <w:sz w:val="32"/>
          <w:szCs w:val="32"/>
        </w:rPr>
        <w:t>（1）效益指标-社会效益指标-协助结案率≥90%</w:t>
      </w:r>
      <w:bookmarkEnd w:id="166"/>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（2）产出指标-数量指标-体检批数=1批</w:t>
      </w:r>
    </w:p>
    <w:p>
      <w:pPr>
        <w:ind w:firstLine="640" w:firstLineChars="200"/>
        <w:rPr>
          <w:rFonts w:hint="eastAsia" w:ascii="仿宋_GB2312" w:hAnsi="Times New Roman" w:eastAsia="仿宋_GB2312" w:cs="Times New Roman"/>
          <w:sz w:val="32"/>
          <w:szCs w:val="32"/>
        </w:rPr>
      </w:pPr>
      <w:bookmarkStart w:id="167" w:name="_Toc24629"/>
      <w:r>
        <w:rPr>
          <w:rFonts w:hint="eastAsia" w:ascii="仿宋_GB2312" w:hAnsi="Times New Roman" w:eastAsia="仿宋_GB2312" w:cs="Times New Roman"/>
          <w:sz w:val="32"/>
          <w:szCs w:val="32"/>
        </w:rPr>
        <w:t>二、绩效评价工作开展情况</w:t>
      </w:r>
      <w:bookmarkEnd w:id="167"/>
    </w:p>
    <w:p>
      <w:pPr>
        <w:ind w:firstLine="640" w:firstLineChars="200"/>
        <w:rPr>
          <w:rFonts w:hint="eastAsia" w:ascii="仿宋_GB2312" w:hAnsi="Times New Roman" w:eastAsia="仿宋_GB2312" w:cs="Times New Roman"/>
          <w:sz w:val="32"/>
          <w:szCs w:val="32"/>
        </w:rPr>
      </w:pPr>
      <w:bookmarkStart w:id="168" w:name="_Toc20613"/>
      <w:r>
        <w:rPr>
          <w:rFonts w:hint="eastAsia" w:ascii="仿宋_GB2312" w:hAnsi="Times New Roman" w:eastAsia="仿宋_GB2312" w:cs="Times New Roman"/>
          <w:sz w:val="32"/>
          <w:szCs w:val="32"/>
        </w:rPr>
        <w:t>（一）绩效评价目的、对象和范围</w:t>
      </w:r>
      <w:bookmarkEnd w:id="168"/>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本次绩效评价的对象为</w:t>
      </w:r>
      <w:r>
        <w:rPr>
          <w:rFonts w:hint="eastAsia" w:ascii="仿宋_GB2312" w:hAnsi="Times New Roman" w:eastAsia="仿宋_GB2312" w:cs="Times New Roman"/>
          <w:sz w:val="32"/>
          <w:szCs w:val="32"/>
          <w:lang w:val="en-US" w:eastAsia="zh-CN"/>
        </w:rPr>
        <w:t>聘用制书记员管理</w:t>
      </w:r>
      <w:r>
        <w:rPr>
          <w:rFonts w:hint="eastAsia" w:ascii="仿宋_GB2312" w:hAnsi="Times New Roman" w:eastAsia="仿宋_GB2312" w:cs="Times New Roman"/>
          <w:sz w:val="32"/>
          <w:szCs w:val="32"/>
        </w:rPr>
        <w:t>项目，时间范围涵盖项目实施年度，重点评价项目资金决策、管理、产出和效果情况。通过开展项目绩效评价工作，总结经验，发现问题，为优化政策支持方向和预算资金安排，改进和加强管理提供重要参考依据，提高财政资金使用效益。</w:t>
      </w:r>
    </w:p>
    <w:p>
      <w:pPr>
        <w:ind w:firstLine="640" w:firstLineChars="200"/>
        <w:rPr>
          <w:rFonts w:hint="eastAsia" w:ascii="仿宋_GB2312" w:hAnsi="Times New Roman" w:eastAsia="仿宋_GB2312" w:cs="Times New Roman"/>
          <w:sz w:val="32"/>
          <w:szCs w:val="32"/>
        </w:rPr>
      </w:pPr>
      <w:bookmarkStart w:id="169" w:name="_Toc9647"/>
      <w:r>
        <w:rPr>
          <w:rFonts w:hint="eastAsia" w:ascii="仿宋_GB2312" w:hAnsi="Times New Roman" w:eastAsia="仿宋_GB2312" w:cs="Times New Roman"/>
          <w:sz w:val="32"/>
          <w:szCs w:val="32"/>
        </w:rPr>
        <w:t>（二）绩效评价原则和评价方法</w:t>
      </w:r>
      <w:bookmarkEnd w:id="169"/>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本次绩效评价遵循“科学公正、统筹兼顾、激励约束、公开透明”的原则。本次评价运用了成本效益分析法、因素分析法、公众评判法等方法，同时通过资料梳理、多因素分析来支撑评价的逻辑紧密性与客观性。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在评价过程中，通过实地考察、访谈、问卷调查等形式采集基础数据，以具有代表性与广泛性的数据，支撑指标体系的评分，实现客观科学的评价，全面反映项目资金的决策、使用和取得的效益情况。评价指标体系及指标说明详见附表。</w:t>
      </w:r>
    </w:p>
    <w:p>
      <w:pPr>
        <w:ind w:firstLine="640" w:firstLineChars="200"/>
        <w:rPr>
          <w:rFonts w:hint="eastAsia" w:ascii="仿宋_GB2312" w:hAnsi="Times New Roman" w:eastAsia="仿宋_GB2312" w:cs="Times New Roman"/>
          <w:sz w:val="32"/>
          <w:szCs w:val="32"/>
        </w:rPr>
      </w:pPr>
      <w:bookmarkStart w:id="170" w:name="_Toc28561"/>
      <w:r>
        <w:rPr>
          <w:rFonts w:hint="eastAsia" w:ascii="仿宋_GB2312" w:hAnsi="Times New Roman" w:eastAsia="仿宋_GB2312" w:cs="Times New Roman"/>
          <w:sz w:val="32"/>
          <w:szCs w:val="32"/>
        </w:rPr>
        <w:t>（三）绩效评价工作过程</w:t>
      </w:r>
      <w:bookmarkEnd w:id="170"/>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本次绩效评价共分</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个阶段来组织实施，分别是绩效评价准备、绩效评价现场实施、形成绩效评价报告初稿、绩效评价意见反馈和绩效评价报告形成。</w:t>
      </w:r>
    </w:p>
    <w:p>
      <w:pPr>
        <w:ind w:firstLine="640" w:firstLineChars="200"/>
        <w:rPr>
          <w:rFonts w:hint="eastAsia" w:ascii="仿宋_GB2312" w:hAnsi="Times New Roman" w:eastAsia="仿宋_GB2312" w:cs="Times New Roman"/>
          <w:sz w:val="32"/>
          <w:szCs w:val="32"/>
        </w:rPr>
      </w:pPr>
      <w:bookmarkStart w:id="171" w:name="_Toc17087"/>
      <w:r>
        <w:rPr>
          <w:rFonts w:hint="eastAsia" w:ascii="仿宋_GB2312" w:hAnsi="Times New Roman" w:eastAsia="仿宋_GB2312" w:cs="Times New Roman"/>
          <w:sz w:val="32"/>
          <w:szCs w:val="32"/>
        </w:rPr>
        <w:t>1.绩效评价准备</w:t>
      </w:r>
      <w:bookmarkEnd w:id="171"/>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根据安排，我们针对</w:t>
      </w:r>
      <w:r>
        <w:rPr>
          <w:rFonts w:hint="eastAsia" w:ascii="仿宋_GB2312" w:hAnsi="Times New Roman" w:eastAsia="仿宋_GB2312" w:cs="Times New Roman"/>
          <w:sz w:val="32"/>
          <w:szCs w:val="32"/>
          <w:lang w:val="en-US" w:eastAsia="zh-CN"/>
        </w:rPr>
        <w:t>聘用制书记员管理</w:t>
      </w:r>
      <w:r>
        <w:rPr>
          <w:rFonts w:hint="eastAsia" w:ascii="仿宋_GB2312" w:hAnsi="Times New Roman" w:eastAsia="仿宋_GB2312" w:cs="Times New Roman"/>
          <w:sz w:val="32"/>
          <w:szCs w:val="32"/>
        </w:rPr>
        <w:t>项目绩效评价组织了项目培训，评价小组认真研读绩效评价实施方案，掌握了实施方案中相关内容，拟定评价资料清单。</w:t>
      </w:r>
    </w:p>
    <w:p>
      <w:pPr>
        <w:ind w:firstLine="640" w:firstLineChars="200"/>
        <w:rPr>
          <w:rFonts w:hint="eastAsia" w:ascii="仿宋_GB2312" w:hAnsi="Times New Roman" w:eastAsia="仿宋_GB2312" w:cs="Times New Roman"/>
          <w:sz w:val="32"/>
          <w:szCs w:val="32"/>
        </w:rPr>
      </w:pPr>
      <w:bookmarkStart w:id="172" w:name="_Toc20455"/>
      <w:r>
        <w:rPr>
          <w:rFonts w:hint="eastAsia" w:ascii="仿宋_GB2312" w:hAnsi="Times New Roman" w:eastAsia="仿宋_GB2312" w:cs="Times New Roman"/>
          <w:sz w:val="32"/>
          <w:szCs w:val="32"/>
        </w:rPr>
        <w:t>2.绩效评价现场实施</w:t>
      </w:r>
      <w:bookmarkEnd w:id="172"/>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评价小组听取情况汇报，查阅、收集、核实有关数据资料，组织现场勘察、面访、问卷调查，并向相关负责人了解与项目支出相关的信息情况。</w:t>
      </w:r>
    </w:p>
    <w:p>
      <w:pPr>
        <w:ind w:firstLine="640" w:firstLineChars="200"/>
        <w:rPr>
          <w:rFonts w:hint="eastAsia" w:ascii="仿宋_GB2312" w:hAnsi="Times New Roman" w:eastAsia="仿宋_GB2312" w:cs="Times New Roman"/>
          <w:sz w:val="32"/>
          <w:szCs w:val="32"/>
        </w:rPr>
      </w:pPr>
      <w:bookmarkStart w:id="173" w:name="_Toc2247"/>
      <w:r>
        <w:rPr>
          <w:rFonts w:hint="eastAsia" w:ascii="仿宋_GB2312" w:hAnsi="Times New Roman" w:eastAsia="仿宋_GB2312" w:cs="Times New Roman"/>
          <w:sz w:val="32"/>
          <w:szCs w:val="32"/>
        </w:rPr>
        <w:t>3.形成绩效评价报告初稿</w:t>
      </w:r>
      <w:bookmarkEnd w:id="173"/>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收集、整理、分析材料，计算评价指标分值，起草绩效评价报告初稿。</w:t>
      </w:r>
    </w:p>
    <w:p>
      <w:pPr>
        <w:ind w:firstLine="640" w:firstLineChars="200"/>
        <w:rPr>
          <w:rFonts w:hint="eastAsia" w:ascii="仿宋_GB2312" w:hAnsi="Times New Roman" w:eastAsia="仿宋_GB2312" w:cs="Times New Roman"/>
          <w:sz w:val="32"/>
          <w:szCs w:val="32"/>
        </w:rPr>
      </w:pPr>
      <w:bookmarkStart w:id="174" w:name="_Toc808"/>
      <w:r>
        <w:rPr>
          <w:rFonts w:hint="eastAsia" w:ascii="仿宋_GB2312" w:hAnsi="Times New Roman" w:eastAsia="仿宋_GB2312" w:cs="Times New Roman"/>
          <w:sz w:val="32"/>
          <w:szCs w:val="32"/>
        </w:rPr>
        <w:t>三、综合评价情况及评价结论</w:t>
      </w:r>
      <w:bookmarkEnd w:id="174"/>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该项目属于</w:t>
      </w:r>
      <w:r>
        <w:rPr>
          <w:rFonts w:hint="eastAsia" w:ascii="仿宋_GB2312" w:hAnsi="Times New Roman" w:eastAsia="仿宋_GB2312" w:cs="Times New Roman"/>
          <w:sz w:val="32"/>
          <w:szCs w:val="32"/>
          <w:lang w:val="en-US" w:eastAsia="zh-CN"/>
        </w:rPr>
        <w:t>经常性支出</w:t>
      </w:r>
      <w:r>
        <w:rPr>
          <w:rFonts w:hint="eastAsia" w:ascii="仿宋_GB2312" w:hAnsi="Times New Roman" w:eastAsia="仿宋_GB2312" w:cs="Times New Roman"/>
          <w:sz w:val="32"/>
          <w:szCs w:val="32"/>
        </w:rPr>
        <w:t>项目，实施内容明确，项目依据充分、目标明确、与政策要求高度相关。项目资金到位情况较好。项目实施依据的相关制度基本健全，项目实施管理较为规范。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项目绩效目标完成情况：</w:t>
      </w:r>
      <w:bookmarkStart w:id="175" w:name="_Hlk76049375"/>
    </w:p>
    <w:bookmarkEnd w:id="175"/>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bookmarkStart w:id="176" w:name="_Hlk76049619"/>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年协助结案率86.65%；</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组织体检1批</w:t>
      </w:r>
      <w:r>
        <w:rPr>
          <w:rFonts w:hint="eastAsia" w:ascii="仿宋_GB2312" w:hAnsi="Times New Roman" w:eastAsia="仿宋_GB2312" w:cs="Times New Roman"/>
          <w:sz w:val="32"/>
          <w:szCs w:val="32"/>
        </w:rPr>
        <w:t>；</w:t>
      </w:r>
    </w:p>
    <w:bookmarkEnd w:id="176"/>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根据对项目决策、项目过程、项目产出、项目效益各项绩效指标进行综合分析评判，项目总体评分为</w:t>
      </w:r>
      <w:r>
        <w:rPr>
          <w:rFonts w:hint="eastAsia" w:ascii="仿宋_GB2312" w:hAnsi="Times New Roman" w:eastAsia="仿宋_GB2312" w:cs="Times New Roman"/>
          <w:sz w:val="32"/>
          <w:szCs w:val="32"/>
          <w:lang w:val="en-US" w:eastAsia="zh-CN"/>
        </w:rPr>
        <w:t>89.56</w:t>
      </w:r>
      <w:r>
        <w:rPr>
          <w:rFonts w:hint="eastAsia" w:ascii="仿宋_GB2312" w:hAnsi="Times New Roman" w:eastAsia="仿宋_GB2312" w:cs="Times New Roman"/>
          <w:sz w:val="32"/>
          <w:szCs w:val="32"/>
        </w:rPr>
        <w:t>分，评价等级为“</w:t>
      </w:r>
      <w:r>
        <w:rPr>
          <w:rFonts w:hint="eastAsia" w:ascii="仿宋_GB2312" w:hAnsi="Times New Roman" w:eastAsia="仿宋_GB2312" w:cs="Times New Roman"/>
          <w:sz w:val="32"/>
          <w:szCs w:val="32"/>
          <w:lang w:val="en-US" w:eastAsia="zh-CN"/>
        </w:rPr>
        <w:t>良</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项目具体评分详见附表：项目支出绩效评价指标评分表。</w:t>
      </w:r>
    </w:p>
    <w:p>
      <w:pPr>
        <w:ind w:firstLine="640" w:firstLineChars="200"/>
        <w:rPr>
          <w:rFonts w:hint="eastAsia" w:ascii="仿宋_GB2312" w:hAnsi="Times New Roman" w:eastAsia="仿宋_GB2312" w:cs="Times New Roman"/>
          <w:sz w:val="32"/>
          <w:szCs w:val="32"/>
        </w:rPr>
      </w:pPr>
      <w:bookmarkStart w:id="177" w:name="_Toc23739"/>
      <w:r>
        <w:rPr>
          <w:rFonts w:hint="eastAsia" w:ascii="仿宋_GB2312" w:hAnsi="Times New Roman" w:eastAsia="仿宋_GB2312" w:cs="Times New Roman"/>
          <w:sz w:val="32"/>
          <w:szCs w:val="32"/>
        </w:rPr>
        <w:t>四、绩效评价指标分析</w:t>
      </w:r>
      <w:bookmarkEnd w:id="177"/>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从项目的决策、过程、产出和效益四个一级指标进行综合考核与评价，总分值100分。</w:t>
      </w:r>
    </w:p>
    <w:p>
      <w:pPr>
        <w:ind w:firstLine="640" w:firstLineChars="200"/>
        <w:rPr>
          <w:rFonts w:hint="eastAsia" w:ascii="仿宋_GB2312" w:hAnsi="Times New Roman" w:eastAsia="仿宋_GB2312" w:cs="Times New Roman"/>
          <w:sz w:val="32"/>
          <w:szCs w:val="32"/>
        </w:rPr>
      </w:pPr>
      <w:bookmarkStart w:id="178" w:name="_Toc31754"/>
      <w:r>
        <w:rPr>
          <w:rFonts w:hint="eastAsia" w:ascii="仿宋_GB2312" w:hAnsi="Times New Roman" w:eastAsia="仿宋_GB2312" w:cs="Times New Roman"/>
          <w:sz w:val="32"/>
          <w:szCs w:val="32"/>
        </w:rPr>
        <w:t>（一）项目决策情况</w:t>
      </w:r>
      <w:bookmarkEnd w:id="178"/>
    </w:p>
    <w:p>
      <w:pPr>
        <w:ind w:firstLine="640" w:firstLineChars="200"/>
        <w:rPr>
          <w:rFonts w:hint="eastAsia" w:ascii="仿宋_GB2312" w:hAnsi="Times New Roman" w:eastAsia="仿宋_GB2312" w:cs="Times New Roman"/>
          <w:sz w:val="32"/>
          <w:szCs w:val="32"/>
        </w:rPr>
      </w:pPr>
      <w:bookmarkStart w:id="179" w:name="_Toc11510"/>
      <w:r>
        <w:rPr>
          <w:rFonts w:hint="eastAsia" w:ascii="仿宋_GB2312" w:hAnsi="Times New Roman" w:eastAsia="仿宋_GB2312" w:cs="Times New Roman"/>
          <w:sz w:val="32"/>
          <w:szCs w:val="32"/>
        </w:rPr>
        <w:t>1、绩效得分</w:t>
      </w:r>
      <w:bookmarkEnd w:id="179"/>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评价项目决策情况评价总分21分，从项目立项、绩效目标、资金投入三个方面进行评价，其中项目立项占8分，包括立项依据充分性、立项程序规范性2个指标；绩效目标占7分，包括绩效目标合理性、绩效指标明确性2个指标；资金投入占6分，包括预算编制科学性、资金分配合理性2个指标。</w:t>
      </w:r>
    </w:p>
    <w:p>
      <w:pPr>
        <w:ind w:firstLine="640" w:firstLineChars="200"/>
        <w:rPr>
          <w:rFonts w:hint="eastAsia" w:ascii="仿宋_GB2312" w:hAnsi="Times New Roman" w:eastAsia="仿宋_GB2312" w:cs="Times New Roman"/>
          <w:sz w:val="32"/>
          <w:szCs w:val="32"/>
        </w:rPr>
      </w:pPr>
      <w:bookmarkStart w:id="180" w:name="_Toc15289"/>
      <w:r>
        <w:rPr>
          <w:rFonts w:hint="eastAsia" w:ascii="仿宋_GB2312" w:hAnsi="Times New Roman" w:eastAsia="仿宋_GB2312" w:cs="Times New Roman"/>
          <w:sz w:val="32"/>
          <w:szCs w:val="32"/>
        </w:rPr>
        <w:t>五、主要经验及做法、存在的问题及原因分析</w:t>
      </w:r>
      <w:bookmarkEnd w:id="180"/>
    </w:p>
    <w:p>
      <w:pPr>
        <w:ind w:firstLine="640" w:firstLineChars="200"/>
        <w:rPr>
          <w:rFonts w:hint="eastAsia" w:ascii="仿宋_GB2312" w:hAnsi="Times New Roman" w:eastAsia="仿宋_GB2312" w:cs="Times New Roman"/>
          <w:sz w:val="32"/>
          <w:szCs w:val="32"/>
        </w:rPr>
      </w:pPr>
      <w:bookmarkStart w:id="181" w:name="_Toc13157"/>
      <w:r>
        <w:rPr>
          <w:rFonts w:hint="eastAsia" w:ascii="仿宋_GB2312" w:hAnsi="Times New Roman" w:eastAsia="仿宋_GB2312" w:cs="Times New Roman"/>
          <w:sz w:val="32"/>
          <w:szCs w:val="32"/>
        </w:rPr>
        <w:t>（一）主要经验及做法</w:t>
      </w:r>
      <w:bookmarkEnd w:id="181"/>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1.加强组织领导。要加强对项目工作的全面领导，便于及时发现项目执行过程中出现的问题并加以改进。严格按照财务管理制度实施，加强项目管理和监督，确保项目实施规范。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专款专用。严格按项目规范要求，做到专款专用，确保项目工作顺利开展。项目内所有支出都由报账员把关，再经分管领导审核，最后由主要领导复审，保证专款专用，无截留、无挪用等现象，取得了良好效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3.加强监督。对日常工作加强规范和监督，防止在项目执行过程中出现偏差。</w:t>
      </w:r>
    </w:p>
    <w:p>
      <w:pPr>
        <w:ind w:firstLine="640" w:firstLineChars="200"/>
        <w:rPr>
          <w:rFonts w:hint="eastAsia" w:ascii="仿宋_GB2312" w:hAnsi="Times New Roman" w:eastAsia="仿宋_GB2312" w:cs="Times New Roman"/>
          <w:sz w:val="32"/>
          <w:szCs w:val="32"/>
        </w:rPr>
      </w:pPr>
      <w:bookmarkStart w:id="182" w:name="_Toc10971"/>
      <w:r>
        <w:rPr>
          <w:rFonts w:hint="eastAsia" w:ascii="仿宋_GB2312" w:hAnsi="Times New Roman" w:eastAsia="仿宋_GB2312" w:cs="Times New Roman"/>
          <w:sz w:val="32"/>
          <w:szCs w:val="32"/>
        </w:rPr>
        <w:t>（二）存在的问题及原因分析</w:t>
      </w:r>
      <w:bookmarkEnd w:id="182"/>
    </w:p>
    <w:p>
      <w:pPr>
        <w:ind w:firstLine="640" w:firstLineChars="200"/>
        <w:rPr>
          <w:rFonts w:hint="default" w:ascii="仿宋_GB2312" w:hAnsi="Times New Roman" w:eastAsia="仿宋_GB2312" w:cs="Times New Roman"/>
          <w:sz w:val="32"/>
          <w:szCs w:val="32"/>
          <w:lang w:val="en-US" w:eastAsia="zh-CN"/>
        </w:rPr>
      </w:pPr>
      <w:bookmarkStart w:id="183" w:name="_Toc27769"/>
      <w:r>
        <w:rPr>
          <w:rFonts w:hint="eastAsia" w:ascii="仿宋_GB2312" w:hAnsi="Times New Roman" w:eastAsia="仿宋_GB2312" w:cs="Times New Roman"/>
          <w:sz w:val="32"/>
          <w:szCs w:val="32"/>
          <w:lang w:val="en-US" w:eastAsia="zh-CN"/>
        </w:rPr>
        <w:t>1.存在问题：</w:t>
      </w:r>
      <w:r>
        <w:rPr>
          <w:rFonts w:hint="eastAsia" w:ascii="仿宋_GB2312" w:hAnsi="Times New Roman" w:eastAsia="仿宋_GB2312" w:cs="Times New Roman"/>
          <w:sz w:val="32"/>
          <w:szCs w:val="32"/>
        </w:rPr>
        <w:t>项目预算编制</w:t>
      </w:r>
      <w:r>
        <w:rPr>
          <w:rFonts w:hint="eastAsia" w:ascii="仿宋_GB2312" w:hAnsi="Times New Roman" w:eastAsia="仿宋_GB2312" w:cs="Times New Roman"/>
          <w:sz w:val="32"/>
          <w:szCs w:val="32"/>
          <w:lang w:val="en-US" w:eastAsia="zh-CN"/>
        </w:rPr>
        <w:t>分配额度不合理</w:t>
      </w:r>
      <w:bookmarkEnd w:id="183"/>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项目预算数</w:t>
      </w:r>
      <w:r>
        <w:rPr>
          <w:rFonts w:hint="eastAsia" w:ascii="仿宋_GB2312" w:hAnsi="Times New Roman" w:eastAsia="仿宋_GB2312" w:cs="Times New Roman"/>
          <w:sz w:val="32"/>
          <w:szCs w:val="32"/>
          <w:lang w:val="en-US" w:eastAsia="zh-CN"/>
        </w:rPr>
        <w:t>与</w:t>
      </w:r>
      <w:r>
        <w:rPr>
          <w:rFonts w:hint="eastAsia" w:ascii="仿宋_GB2312" w:hAnsi="Times New Roman" w:eastAsia="仿宋_GB2312" w:cs="Times New Roman"/>
          <w:sz w:val="32"/>
          <w:szCs w:val="32"/>
          <w:lang w:eastAsia="zh-CN"/>
        </w:rPr>
        <w:t>实际执行数</w:t>
      </w:r>
      <w:r>
        <w:rPr>
          <w:rFonts w:hint="eastAsia" w:ascii="仿宋_GB2312" w:hAnsi="Times New Roman" w:eastAsia="仿宋_GB2312" w:cs="Times New Roman"/>
          <w:sz w:val="32"/>
          <w:szCs w:val="32"/>
          <w:lang w:val="en-US" w:eastAsia="zh-CN"/>
        </w:rPr>
        <w:t>一致</w:t>
      </w:r>
      <w:r>
        <w:rPr>
          <w:rFonts w:hint="eastAsia" w:ascii="仿宋_GB2312" w:hAnsi="Times New Roman" w:eastAsia="仿宋_GB2312" w:cs="Times New Roman"/>
          <w:sz w:val="32"/>
          <w:szCs w:val="32"/>
          <w:lang w:eastAsia="zh-CN"/>
        </w:rPr>
        <w:t>，预算</w:t>
      </w:r>
      <w:r>
        <w:rPr>
          <w:rFonts w:hint="eastAsia" w:ascii="仿宋_GB2312" w:hAnsi="Times New Roman" w:eastAsia="仿宋_GB2312" w:cs="Times New Roman"/>
          <w:sz w:val="32"/>
          <w:szCs w:val="32"/>
          <w:lang w:val="en-US" w:eastAsia="zh-CN"/>
        </w:rPr>
        <w:t>整体</w:t>
      </w:r>
      <w:r>
        <w:rPr>
          <w:rFonts w:hint="eastAsia" w:ascii="仿宋_GB2312" w:hAnsi="Times New Roman" w:eastAsia="仿宋_GB2312" w:cs="Times New Roman"/>
          <w:sz w:val="32"/>
          <w:szCs w:val="32"/>
          <w:lang w:eastAsia="zh-CN"/>
        </w:rPr>
        <w:t>编制依据及与工作量相匹配，</w:t>
      </w:r>
      <w:r>
        <w:rPr>
          <w:rFonts w:hint="eastAsia" w:ascii="仿宋_GB2312" w:hAnsi="Times New Roman" w:eastAsia="仿宋_GB2312" w:cs="Times New Roman"/>
          <w:sz w:val="32"/>
          <w:szCs w:val="32"/>
          <w:lang w:val="en-US" w:eastAsia="zh-CN"/>
        </w:rPr>
        <w:t>但项目预算</w:t>
      </w:r>
      <w:r>
        <w:rPr>
          <w:rFonts w:hint="eastAsia" w:ascii="仿宋_GB2312" w:hAnsi="Times New Roman" w:eastAsia="仿宋_GB2312" w:cs="Times New Roman"/>
          <w:sz w:val="32"/>
          <w:szCs w:val="32"/>
        </w:rPr>
        <w:t>资金分配额度不合理，与项目单位实际相不适应</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科目内部调剂23.98万元</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原因分析：预算编制人员在预算编制时对项目的全过程缺乏充分了解、分析和调研。</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六、有关建议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rPr>
        <w:t>）积极开展绩效跟踪监控，针对项目特点设定分阶段的项目具体实施内容，清晰、明确填报每个阶段的项目实施内容、关键指标值，按月按季地编制部门报表，及时发现执行过程中的问题，强化运行监管。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）提高预算编制的科学性。建议对次年预算编制和申报过程中，要对预算项目采用科学的计算模型，充分了解项目的各个环节资金需求，确保资金需求的准确性。</w:t>
      </w:r>
    </w:p>
    <w:p>
      <w:pPr>
        <w:ind w:firstLine="640" w:firstLineChars="200"/>
        <w:rPr>
          <w:rFonts w:hint="eastAsia" w:ascii="仿宋_GB2312" w:hAnsi="Times New Roman" w:eastAsia="仿宋_GB2312" w:cs="Times New Roman"/>
          <w:sz w:val="32"/>
          <w:szCs w:val="32"/>
        </w:rPr>
      </w:pPr>
      <w:bookmarkStart w:id="184" w:name="_Toc24768"/>
      <w:r>
        <w:rPr>
          <w:rFonts w:hint="eastAsia" w:ascii="仿宋_GB2312" w:hAnsi="Times New Roman" w:eastAsia="仿宋_GB2312" w:cs="Times New Roman"/>
          <w:sz w:val="32"/>
          <w:szCs w:val="32"/>
        </w:rPr>
        <w:t>七、其他需要说明的问题</w:t>
      </w:r>
      <w:bookmarkEnd w:id="184"/>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无</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财政评价结果</w:t>
      </w:r>
      <w:r>
        <w:rPr>
          <w:rFonts w:hint="eastAsia" w:ascii="楷体" w:hAnsi="楷体" w:eastAsia="楷体" w:cs="楷体"/>
          <w:b w:val="0"/>
          <w:bCs/>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暂无。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85" w:name="_Toc18325_WPSOffice_Level2"/>
      <w:bookmarkStart w:id="186" w:name="_Toc15565_WPSOffice_Level2"/>
      <w:bookmarkStart w:id="187" w:name="_Toc23598_WPSOffice_Level2"/>
      <w:bookmarkStart w:id="188" w:name="_Toc32639_WPSOffice_Level2"/>
      <w:bookmarkStart w:id="189" w:name="_Toc5978_WPSOffice_Level2"/>
      <w:bookmarkStart w:id="190" w:name="_Toc15262_WPSOffice_Level2"/>
      <w:r>
        <w:rPr>
          <w:rFonts w:hint="eastAsia" w:ascii="楷体" w:hAnsi="楷体" w:eastAsia="楷体" w:cs="楷体"/>
          <w:bCs/>
          <w:color w:val="000000"/>
          <w:sz w:val="32"/>
          <w:szCs w:val="32"/>
          <w:highlight w:val="none"/>
        </w:rPr>
        <w:t>（一）机关运行经费支出情况。</w:t>
      </w:r>
      <w:bookmarkEnd w:id="185"/>
      <w:bookmarkEnd w:id="186"/>
      <w:bookmarkEnd w:id="187"/>
      <w:bookmarkEnd w:id="188"/>
      <w:bookmarkEnd w:id="189"/>
      <w:bookmarkEnd w:id="190"/>
    </w:p>
    <w:p>
      <w:pPr>
        <w:ind w:firstLine="640" w:firstLineChars="200"/>
        <w:rPr>
          <w:rFonts w:hint="eastAsia" w:ascii="仿宋_GB2312" w:hAnsi="ˎ̥" w:eastAsia="仿宋_GB2312"/>
          <w:sz w:val="32"/>
          <w:szCs w:val="32"/>
          <w:lang w:eastAsia="zh-CN"/>
        </w:rPr>
      </w:pPr>
      <w:bookmarkStart w:id="191" w:name="_Toc25333_WPSOffice_Level2"/>
      <w:bookmarkStart w:id="192" w:name="_Toc32689_WPSOffice_Level2"/>
      <w:bookmarkStart w:id="193" w:name="_Toc3131_WPSOffice_Level2"/>
      <w:bookmarkStart w:id="194" w:name="_Toc30383_WPSOffice_Level2"/>
      <w:bookmarkStart w:id="195" w:name="_Toc23966_WPSOffice_Level2"/>
      <w:bookmarkStart w:id="196" w:name="_Toc13084_WPSOffice_Level2"/>
      <w:r>
        <w:rPr>
          <w:rFonts w:hint="eastAsia" w:ascii="仿宋_GB2312" w:hAnsi="ˎ̥" w:eastAsia="仿宋_GB2312"/>
          <w:sz w:val="32"/>
          <w:szCs w:val="32"/>
          <w:lang w:eastAsia="zh-CN"/>
        </w:rPr>
        <w:t>2022年</w:t>
      </w:r>
      <w:r>
        <w:rPr>
          <w:rFonts w:hint="eastAsia" w:ascii="仿宋_GB2312" w:hAnsi="ˎ̥" w:eastAsia="仿宋_GB2312"/>
          <w:sz w:val="32"/>
          <w:szCs w:val="32"/>
        </w:rPr>
        <w:t>度三亚市城郊人民法院部门（单位）机关运行经费</w:t>
      </w:r>
      <w:r>
        <w:rPr>
          <w:rFonts w:hint="eastAsia" w:ascii="仿宋_GB2312" w:hAnsi="ˎ̥" w:eastAsia="仿宋_GB2312"/>
          <w:sz w:val="32"/>
          <w:szCs w:val="32"/>
          <w:lang w:val="en-US" w:eastAsia="zh-CN"/>
        </w:rPr>
        <w:t>672.89</w:t>
      </w:r>
      <w:r>
        <w:rPr>
          <w:rFonts w:hint="eastAsia" w:ascii="仿宋_GB2312" w:hAnsi="ˎ̥" w:eastAsia="仿宋_GB2312"/>
          <w:sz w:val="32"/>
          <w:szCs w:val="32"/>
        </w:rPr>
        <w:t>万元，比年初预算</w:t>
      </w:r>
      <w:r>
        <w:rPr>
          <w:rFonts w:hint="eastAsia" w:ascii="仿宋_GB2312" w:hAnsi="ˎ̥" w:eastAsia="仿宋_GB2312"/>
          <w:sz w:val="32"/>
          <w:szCs w:val="32"/>
          <w:lang w:eastAsia="zh-CN"/>
        </w:rPr>
        <w:t>减少</w:t>
      </w:r>
      <w:r>
        <w:rPr>
          <w:rFonts w:hint="eastAsia" w:ascii="仿宋_GB2312" w:hAnsi="ˎ̥" w:eastAsia="仿宋_GB2312"/>
          <w:sz w:val="32"/>
          <w:szCs w:val="32"/>
          <w:lang w:val="en-US" w:eastAsia="zh-CN"/>
        </w:rPr>
        <w:t>47.94</w:t>
      </w:r>
      <w:r>
        <w:rPr>
          <w:rFonts w:hint="eastAsia" w:ascii="仿宋_GB2312" w:hAnsi="ˎ̥" w:eastAsia="仿宋_GB2312"/>
          <w:sz w:val="32"/>
          <w:szCs w:val="32"/>
        </w:rPr>
        <w:t>万元，</w:t>
      </w:r>
      <w:r>
        <w:rPr>
          <w:rFonts w:hint="eastAsia" w:ascii="仿宋_GB2312" w:hAnsi="ˎ̥" w:eastAsia="仿宋_GB2312"/>
          <w:sz w:val="32"/>
          <w:szCs w:val="32"/>
          <w:lang w:eastAsia="zh-CN"/>
        </w:rPr>
        <w:t>下降</w:t>
      </w:r>
      <w:r>
        <w:rPr>
          <w:rFonts w:hint="eastAsia" w:ascii="仿宋_GB2312" w:hAnsi="ˎ̥" w:eastAsia="仿宋_GB2312"/>
          <w:sz w:val="32"/>
          <w:szCs w:val="32"/>
          <w:lang w:val="en-US" w:eastAsia="zh-CN"/>
        </w:rPr>
        <w:t>6.65</w:t>
      </w:r>
      <w:r>
        <w:rPr>
          <w:rFonts w:hint="eastAsia" w:ascii="仿宋_GB2312" w:hAnsi="ˎ̥" w:eastAsia="仿宋_GB2312"/>
          <w:sz w:val="32"/>
          <w:szCs w:val="32"/>
        </w:rPr>
        <w:t>%。主要原因是：</w:t>
      </w:r>
      <w:r>
        <w:rPr>
          <w:rFonts w:hint="eastAsia" w:ascii="仿宋_GB2312" w:hAnsi="ˎ̥" w:eastAsia="仿宋_GB2312" w:cs="Times New Roman"/>
          <w:sz w:val="32"/>
          <w:szCs w:val="32"/>
          <w:lang w:val="en-US" w:eastAsia="zh-CN"/>
        </w:rPr>
        <w:t>由于受疫情影响，支出减少。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（二）政府采购支出情况。</w:t>
      </w:r>
      <w:bookmarkEnd w:id="191"/>
      <w:bookmarkEnd w:id="192"/>
      <w:bookmarkEnd w:id="193"/>
      <w:bookmarkEnd w:id="194"/>
      <w:bookmarkEnd w:id="195"/>
      <w:bookmarkEnd w:id="196"/>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2022年</w:t>
      </w:r>
      <w:r>
        <w:rPr>
          <w:rFonts w:hint="eastAsia" w:ascii="仿宋_GB2312" w:hAnsi="ˎ̥" w:eastAsia="仿宋_GB2312"/>
          <w:sz w:val="32"/>
          <w:szCs w:val="32"/>
        </w:rPr>
        <w:t>度三亚市城郊人民法院部门（单位）政府采购支出总额</w:t>
      </w:r>
      <w:r>
        <w:rPr>
          <w:rFonts w:hint="eastAsia" w:ascii="仿宋_GB2312" w:hAnsi="ˎ̥" w:eastAsia="仿宋_GB2312"/>
          <w:sz w:val="32"/>
          <w:szCs w:val="32"/>
          <w:lang w:val="en-US" w:eastAsia="zh-CN"/>
        </w:rPr>
        <w:t>262.41</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262.41</w:t>
      </w:r>
      <w:r>
        <w:rPr>
          <w:rFonts w:hint="eastAsia" w:ascii="仿宋_GB2312" w:hAnsi="ˎ̥" w:eastAsia="仿宋_GB2312"/>
          <w:sz w:val="32"/>
          <w:szCs w:val="32"/>
        </w:rPr>
        <w:t>万元。授予中小企业合同金额0万元，占政府采购支出总额的0%，其中：授予小微企业合同金额0万元，占政府采购支出总额的0%。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97" w:name="_Toc527_WPSOffice_Level2"/>
      <w:bookmarkStart w:id="198" w:name="_Toc15129_WPSOffice_Level2"/>
      <w:bookmarkStart w:id="199" w:name="_Toc10902_WPSOffice_Level2"/>
      <w:bookmarkStart w:id="200" w:name="_Toc6016_WPSOffice_Level2"/>
      <w:bookmarkStart w:id="201" w:name="_Toc19989_WPSOffice_Level2"/>
      <w:bookmarkStart w:id="202" w:name="_Toc29584_WPSOffice_Level2"/>
      <w:r>
        <w:rPr>
          <w:rFonts w:hint="eastAsia" w:ascii="楷体" w:hAnsi="楷体" w:eastAsia="楷体" w:cs="楷体"/>
          <w:bCs/>
          <w:color w:val="000000"/>
          <w:sz w:val="32"/>
          <w:szCs w:val="32"/>
          <w:highlight w:val="none"/>
        </w:rPr>
        <w:t>（三）国有资产占用情况。</w:t>
      </w:r>
      <w:bookmarkEnd w:id="197"/>
      <w:bookmarkEnd w:id="198"/>
      <w:bookmarkEnd w:id="199"/>
      <w:bookmarkEnd w:id="200"/>
      <w:bookmarkEnd w:id="201"/>
      <w:bookmarkEnd w:id="20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2022年</w:t>
      </w:r>
      <w:r>
        <w:rPr>
          <w:rFonts w:hint="eastAsia" w:ascii="仿宋_GB2312" w:hAnsi="ˎ̥" w:eastAsia="仿宋_GB2312"/>
          <w:sz w:val="32"/>
          <w:szCs w:val="32"/>
        </w:rPr>
        <w:t>12月31日，本部门占用房屋面积21566平方米，其中：办公用房13166平方米，其他（不含构筑物）8400平方米。</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本部门共有车辆1</w:t>
      </w:r>
      <w:r>
        <w:rPr>
          <w:rFonts w:hint="eastAsia" w:ascii="仿宋_GB2312" w:hAnsi="ˎ̥" w:eastAsia="仿宋_GB2312"/>
          <w:sz w:val="32"/>
          <w:szCs w:val="32"/>
          <w:lang w:val="en-US" w:eastAsia="zh-CN"/>
        </w:rPr>
        <w:t>5</w:t>
      </w:r>
      <w:r>
        <w:rPr>
          <w:rFonts w:hint="eastAsia" w:ascii="仿宋_GB2312" w:hAnsi="ˎ̥" w:eastAsia="仿宋_GB2312"/>
          <w:sz w:val="32"/>
          <w:szCs w:val="32"/>
        </w:rPr>
        <w:t>辆，其中：从车辆种类说明：轿车</w:t>
      </w:r>
      <w:r>
        <w:rPr>
          <w:rFonts w:hint="eastAsia" w:ascii="仿宋_GB2312" w:hAnsi="ˎ̥" w:eastAsia="仿宋_GB2312"/>
          <w:sz w:val="32"/>
          <w:szCs w:val="32"/>
          <w:lang w:val="en-US" w:eastAsia="zh-CN"/>
        </w:rPr>
        <w:t>2</w:t>
      </w:r>
      <w:r>
        <w:rPr>
          <w:rFonts w:hint="eastAsia" w:ascii="仿宋_GB2312" w:hAnsi="ˎ̥" w:eastAsia="仿宋_GB2312"/>
          <w:sz w:val="32"/>
          <w:szCs w:val="32"/>
        </w:rPr>
        <w:t>辆、越野车</w:t>
      </w:r>
      <w:r>
        <w:rPr>
          <w:rFonts w:hint="eastAsia" w:ascii="仿宋_GB2312" w:hAnsi="ˎ̥" w:eastAsia="仿宋_GB2312"/>
          <w:sz w:val="32"/>
          <w:szCs w:val="32"/>
          <w:lang w:val="en-US" w:eastAsia="zh-CN"/>
        </w:rPr>
        <w:t>4</w:t>
      </w:r>
      <w:r>
        <w:rPr>
          <w:rFonts w:hint="eastAsia" w:ascii="仿宋_GB2312" w:hAnsi="ˎ̥" w:eastAsia="仿宋_GB2312"/>
          <w:sz w:val="32"/>
          <w:szCs w:val="32"/>
        </w:rPr>
        <w:t>辆、小型载客汽车</w:t>
      </w:r>
      <w:r>
        <w:rPr>
          <w:rFonts w:hint="eastAsia" w:ascii="仿宋_GB2312" w:hAnsi="ˎ̥" w:eastAsia="仿宋_GB2312"/>
          <w:sz w:val="32"/>
          <w:szCs w:val="32"/>
          <w:lang w:val="en-US" w:eastAsia="zh-CN"/>
        </w:rPr>
        <w:t>1</w:t>
      </w:r>
      <w:r>
        <w:rPr>
          <w:rFonts w:hint="eastAsia" w:ascii="仿宋_GB2312" w:hAnsi="ˎ̥" w:eastAsia="仿宋_GB2312"/>
          <w:sz w:val="32"/>
          <w:szCs w:val="32"/>
        </w:rPr>
        <w:t>辆；从车辆使用情况说明：</w:t>
      </w:r>
      <w:r>
        <w:rPr>
          <w:rFonts w:hint="eastAsia" w:ascii="仿宋_GB2312" w:hAnsi="ˎ̥" w:eastAsia="仿宋_GB2312"/>
          <w:sz w:val="32"/>
          <w:szCs w:val="32"/>
          <w:lang w:eastAsia="zh-CN"/>
        </w:rPr>
        <w:t>其他用车</w:t>
      </w:r>
      <w:r>
        <w:rPr>
          <w:rFonts w:hint="eastAsia" w:ascii="仿宋_GB2312" w:hAnsi="ˎ̥" w:eastAsia="仿宋_GB2312"/>
          <w:sz w:val="32"/>
          <w:szCs w:val="32"/>
          <w:lang w:val="en-US" w:eastAsia="zh-CN"/>
        </w:rPr>
        <w:t>15辆</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单位价值50万元（含）以上通用设备0台（套），单价100万元（含）以上专用设备0台（套）。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w:t>
      </w:r>
      <w:r>
        <w:rPr>
          <w:rFonts w:hint="eastAsia" w:ascii="仿宋_GB2312" w:hAnsi="ˎ̥" w:eastAsia="仿宋_GB2312"/>
          <w:sz w:val="32"/>
          <w:szCs w:val="32"/>
          <w:lang w:val="en-US" w:eastAsia="zh-CN"/>
        </w:rPr>
        <w:t>5234.77</w:t>
      </w:r>
      <w:r>
        <w:rPr>
          <w:rFonts w:hint="eastAsia" w:ascii="仿宋_GB2312" w:hAnsi="ˎ̥"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203" w:name="_Toc4398_WPSOffice_Level1"/>
      <w:bookmarkStart w:id="204" w:name="_Toc17580_WPSOffice_Level1"/>
      <w:bookmarkStart w:id="205" w:name="_Toc11039_WPSOffice_Level1"/>
      <w:bookmarkStart w:id="206" w:name="_Toc15425_WPSOffice_Level1"/>
      <w:bookmarkStart w:id="207" w:name="_Toc8874_WPSOffice_Level1"/>
      <w:bookmarkStart w:id="208" w:name="_Toc8808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203"/>
      <w:bookmarkEnd w:id="204"/>
      <w:bookmarkEnd w:id="205"/>
      <w:bookmarkEnd w:id="206"/>
      <w:bookmarkEnd w:id="207"/>
      <w:bookmarkEnd w:id="20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DejaVu Sans">
    <w:altName w:val="Times New Roman"/>
    <w:panose1 w:val="00000000000000000000"/>
    <w:charset w:val="00"/>
    <w:family w:val="modern"/>
    <w:pitch w:val="default"/>
    <w:sig w:usb0="00000000" w:usb1="00000000" w:usb2="00000008" w:usb3="00000000" w:csb0="000001FF" w:csb1="00000000"/>
  </w:font>
  <w:font w:name="Songti SC">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rPr>
                              <w:rStyle w:val="7"/>
                            </w:rPr>
                            <w:t xml:space="preserve">— </w:t>
                          </w:r>
                          <w:r>
                            <w:rPr>
                              <w:rStyle w:val="7"/>
                            </w:rPr>
                            <w:fldChar w:fldCharType="begin"/>
                          </w:r>
                          <w:r>
                            <w:rPr>
                              <w:rStyle w:val="7"/>
                            </w:rPr>
                            <w:instrText xml:space="preserve"> PAGE  \* MERGEFORMAT </w:instrText>
                          </w:r>
                          <w:r>
                            <w:rPr>
                              <w:rStyle w:val="7"/>
                            </w:rPr>
                            <w:fldChar w:fldCharType="separate"/>
                          </w:r>
                          <w:r>
                            <w:rPr>
                              <w:rStyle w:val="7"/>
                            </w:rPr>
                            <w:t>1</w:t>
                          </w:r>
                          <w:r>
                            <w:rPr>
                              <w:rStyle w:val="7"/>
                            </w:rPr>
                            <w:fldChar w:fldCharType="end"/>
                          </w:r>
                          <w:r>
                            <w:rPr>
                              <w:rStyle w:val="7"/>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Style w:val="7"/>
                      </w:rPr>
                    </w:pPr>
                    <w:r>
                      <w:rPr>
                        <w:rStyle w:val="7"/>
                      </w:rPr>
                      <w:t xml:space="preserve">— </w:t>
                    </w:r>
                    <w:r>
                      <w:rPr>
                        <w:rStyle w:val="7"/>
                      </w:rPr>
                      <w:fldChar w:fldCharType="begin"/>
                    </w:r>
                    <w:r>
                      <w:rPr>
                        <w:rStyle w:val="7"/>
                      </w:rPr>
                      <w:instrText xml:space="preserve"> PAGE  \* MERGEFORMAT </w:instrText>
                    </w:r>
                    <w:r>
                      <w:rPr>
                        <w:rStyle w:val="7"/>
                      </w:rPr>
                      <w:fldChar w:fldCharType="separate"/>
                    </w:r>
                    <w:r>
                      <w:rPr>
                        <w:rStyle w:val="7"/>
                      </w:rPr>
                      <w:t>1</w:t>
                    </w:r>
                    <w:r>
                      <w:rPr>
                        <w:rStyle w:val="7"/>
                      </w:rPr>
                      <w:fldChar w:fldCharType="end"/>
                    </w:r>
                    <w:r>
                      <w:rPr>
                        <w:rStyle w:val="7"/>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DCBF7452"/>
    <w:multiLevelType w:val="singleLevel"/>
    <w:tmpl w:val="DCBF7452"/>
    <w:lvl w:ilvl="0" w:tentative="0">
      <w:start w:val="1"/>
      <w:numFmt w:val="chineseCounting"/>
      <w:suff w:val="nothing"/>
      <w:lvlText w:val="%1、"/>
      <w:lvlJc w:val="left"/>
      <w:rPr>
        <w:rFonts w:hint="eastAsia"/>
      </w:rPr>
    </w:lvl>
  </w:abstractNum>
  <w:abstractNum w:abstractNumId="2">
    <w:nsid w:val="48D94B4D"/>
    <w:multiLevelType w:val="singleLevel"/>
    <w:tmpl w:val="48D94B4D"/>
    <w:lvl w:ilvl="0" w:tentative="0">
      <w:start w:val="4"/>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D3448"/>
    <w:rsid w:val="0B175A51"/>
    <w:rsid w:val="18AB568E"/>
    <w:rsid w:val="2AF37E89"/>
    <w:rsid w:val="2B4525A4"/>
    <w:rsid w:val="35F95315"/>
    <w:rsid w:val="38A70E2E"/>
    <w:rsid w:val="429C2B7C"/>
    <w:rsid w:val="5AB34471"/>
    <w:rsid w:val="6212340B"/>
    <w:rsid w:val="63765D92"/>
    <w:rsid w:val="63DF497B"/>
    <w:rsid w:val="718D4E5B"/>
    <w:rsid w:val="75BC601D"/>
    <w:rsid w:val="79B65D88"/>
    <w:rsid w:val="7BE0074B"/>
    <w:rsid w:val="7F6A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0" w:firstLineChars="0"/>
      <w:outlineLvl w:val="0"/>
    </w:pPr>
    <w:rPr>
      <w:rFonts w:eastAsia="Songti SC"/>
      <w:b/>
      <w:kern w:val="44"/>
      <w:sz w:val="32"/>
    </w:rPr>
  </w:style>
  <w:style w:type="paragraph" w:styleId="2">
    <w:name w:val="heading 2"/>
    <w:basedOn w:val="1"/>
    <w:next w:val="1"/>
    <w:unhideWhenUsed/>
    <w:qFormat/>
    <w:uiPriority w:val="0"/>
    <w:pPr>
      <w:keepNext/>
      <w:keepLines/>
      <w:spacing w:line="360" w:lineRule="auto"/>
      <w:outlineLvl w:val="1"/>
    </w:pPr>
    <w:rPr>
      <w:rFonts w:ascii="DejaVu Sans" w:hAnsi="DejaVu Sans" w:eastAsia="Songti SC"/>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Chars="200"/>
    </w:pPr>
    <w:rPr>
      <w:rFonts w:ascii="Times New Roman" w:hAnsi="Times New Roman" w:eastAsia="宋体" w:cs="Times New Roman"/>
      <w:lang w:val="en-US" w:eastAsia="zh-CN" w:bidi="ar-SA"/>
    </w:rPr>
  </w:style>
  <w:style w:type="paragraph" w:customStyle="1" w:styleId="10">
    <w:name w:val="NormalIndent"/>
    <w:basedOn w:val="1"/>
    <w:qFormat/>
    <w:uiPriority w:val="0"/>
    <w:pPr>
      <w:widowControl/>
      <w:spacing w:line="288" w:lineRule="auto"/>
      <w:ind w:firstLine="680"/>
      <w:textAlignment w:val="baseline"/>
    </w:pPr>
    <w:rPr>
      <w:rFonts w:ascii="Calibri" w:hAnsi="Calibri" w:eastAsia="楷体_GB2312"/>
      <w:sz w:val="32"/>
    </w:rPr>
  </w:style>
  <w:style w:type="character" w:customStyle="1" w:styleId="1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2023-08-30T01:30:00Z</dcterms:created>
  <dc:creator>Administrator</dc:creator>
  <cp:lastModifiedBy>Administrator</cp:lastModifiedBy>
  <cp:lastPrinted>2023-08-31T02:59:53Z</cp:lastPrinted>
  <dcterms:modified xsi:type="dcterms:W3CDTF">2023-08-31T03:16:32Z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