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val="en-US" w:eastAsia="zh-CN"/>
        </w:rPr>
        <w:t>2021</w:t>
      </w:r>
      <w:r>
        <w:rPr>
          <w:rFonts w:hint="eastAsia"/>
          <w:sz w:val="52"/>
          <w:szCs w:val="52"/>
        </w:rPr>
        <w:t>年</w:t>
      </w:r>
      <w:r>
        <w:rPr>
          <w:rFonts w:hint="eastAsia"/>
          <w:sz w:val="52"/>
          <w:szCs w:val="52"/>
          <w:lang w:eastAsia="zh-CN"/>
        </w:rPr>
        <w:t>三亚市城郊人民法院</w:t>
      </w:r>
    </w:p>
    <w:p>
      <w:pPr>
        <w:jc w:val="center"/>
        <w:rPr>
          <w:sz w:val="52"/>
          <w:szCs w:val="52"/>
        </w:rPr>
      </w:pP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5"/>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三亚市城郊人民法院</w:t>
      </w:r>
      <w:r>
        <w:rPr>
          <w:rFonts w:hint="eastAsia" w:ascii="黑体" w:hAnsi="黑体" w:eastAsia="黑体"/>
          <w:sz w:val="32"/>
          <w:szCs w:val="32"/>
        </w:rPr>
        <w:t>概况</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5"/>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w:t>
      </w:r>
      <w:r>
        <w:rPr>
          <w:rFonts w:hint="eastAsia" w:ascii="黑体" w:hAnsi="黑体" w:eastAsia="黑体"/>
          <w:sz w:val="32"/>
          <w:szCs w:val="32"/>
          <w:lang w:val="en-US" w:eastAsia="zh-CN"/>
        </w:rPr>
        <w:t>2021</w:t>
      </w:r>
      <w:r>
        <w:rPr>
          <w:rFonts w:hint="eastAsia" w:ascii="黑体" w:hAnsi="黑体" w:eastAsia="黑体"/>
          <w:sz w:val="32"/>
          <w:szCs w:val="32"/>
        </w:rPr>
        <w:t>年部门预算表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w:t>
      </w:r>
      <w:r>
        <w:rPr>
          <w:rFonts w:hint="eastAsia" w:ascii="黑体" w:hAnsi="黑体" w:eastAsia="黑体"/>
          <w:sz w:val="32"/>
          <w:szCs w:val="32"/>
          <w:lang w:val="en-US" w:eastAsia="zh-CN"/>
        </w:rPr>
        <w:t>2021</w:t>
      </w:r>
      <w:r>
        <w:rPr>
          <w:rFonts w:hint="eastAsia" w:ascii="黑体" w:hAnsi="黑体" w:eastAsia="黑体"/>
          <w:sz w:val="32"/>
          <w:szCs w:val="32"/>
        </w:rPr>
        <w:t>年部门预算情况说明</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5"/>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5"/>
        <w:numPr>
          <w:ilvl w:val="0"/>
          <w:numId w:val="5"/>
        </w:numPr>
        <w:ind w:firstLineChars="0"/>
        <w:jc w:val="left"/>
        <w:rPr>
          <w:rFonts w:ascii="黑体" w:hAnsi="黑体" w:eastAsia="黑体" w:cs="仿宋_GB2312"/>
          <w:sz w:val="32"/>
          <w:szCs w:val="32"/>
          <w:shd w:val="clear" w:color="auto" w:fill="auto"/>
        </w:rPr>
      </w:pPr>
      <w:r>
        <w:rPr>
          <w:rFonts w:hint="eastAsia" w:ascii="黑体" w:hAnsi="黑体" w:eastAsia="黑体" w:cs="仿宋_GB2312"/>
          <w:sz w:val="32"/>
          <w:szCs w:val="32"/>
          <w:shd w:val="clear" w:color="auto" w:fill="auto"/>
        </w:rPr>
        <w:t>主要职能</w:t>
      </w:r>
    </w:p>
    <w:p>
      <w:pPr>
        <w:pStyle w:val="5"/>
        <w:numPr>
          <w:numId w:val="0"/>
        </w:numPr>
        <w:ind w:leftChars="0"/>
        <w:jc w:val="left"/>
        <w:rPr>
          <w:rFonts w:hint="eastAsia" w:ascii="黑体" w:hAnsi="黑体" w:eastAsia="黑体" w:cs="仿宋_GB2312"/>
          <w:sz w:val="32"/>
          <w:szCs w:val="32"/>
          <w:shd w:val="clear" w:color="auto" w:fill="auto"/>
          <w:lang w:val="en-US" w:eastAsia="zh-CN"/>
        </w:rPr>
      </w:pPr>
      <w:r>
        <w:rPr>
          <w:rFonts w:hint="eastAsia" w:ascii="黑体" w:hAnsi="黑体" w:eastAsia="黑体" w:cs="仿宋_GB2312"/>
          <w:sz w:val="32"/>
          <w:szCs w:val="32"/>
          <w:shd w:val="clear" w:color="auto" w:fill="auto"/>
          <w:lang w:val="en-US" w:eastAsia="zh-CN"/>
        </w:rPr>
        <w:t xml:space="preserve">    </w:t>
      </w:r>
      <w:r>
        <w:rPr>
          <w:rFonts w:hint="eastAsia" w:ascii="仿宋_GB2312" w:hAnsi="黑体" w:eastAsia="仿宋_GB2312" w:cs="仿宋_GB2312"/>
          <w:sz w:val="32"/>
          <w:szCs w:val="32"/>
        </w:rPr>
        <w:t>（一）</w:t>
      </w:r>
      <w:r>
        <w:rPr>
          <w:rFonts w:hint="eastAsia" w:ascii="仿宋_GB2312" w:hAnsi="黑体" w:eastAsia="仿宋_GB2312" w:cs="仿宋_GB2312"/>
          <w:sz w:val="32"/>
          <w:szCs w:val="32"/>
          <w:lang w:eastAsia="zh-CN"/>
        </w:rPr>
        <w:t>深入贯彻习近平新时代中国特色社会主义思想，深入贯彻党的路线方针政策和决策部署，统一本院干警思想和行动，坚持党对法院工作的绝对领导，坚决维护习近平总书记的核心地位，坚决维护党中央权威和集中统一领导。</w:t>
      </w:r>
    </w:p>
    <w:p>
      <w:pPr>
        <w:pStyle w:val="5"/>
        <w:numPr>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二</w:t>
      </w:r>
      <w:r>
        <w:rPr>
          <w:rFonts w:hint="eastAsia" w:ascii="仿宋_GB2312" w:hAnsi="黑体" w:eastAsia="仿宋_GB2312" w:cs="仿宋_GB2312"/>
          <w:sz w:val="32"/>
          <w:szCs w:val="32"/>
        </w:rPr>
        <w:t>）依法审判法律规定由基层人民法院管辖的第一审</w:t>
      </w:r>
      <w:r>
        <w:rPr>
          <w:rFonts w:hint="eastAsia" w:ascii="仿宋_GB2312" w:hAnsi="黑体" w:eastAsia="仿宋_GB2312" w:cs="仿宋_GB2312"/>
          <w:sz w:val="32"/>
          <w:szCs w:val="32"/>
          <w:lang w:eastAsia="zh-CN"/>
        </w:rPr>
        <w:t>刑事、民事、行政等第一审</w:t>
      </w:r>
      <w:r>
        <w:rPr>
          <w:rFonts w:hint="eastAsia" w:ascii="仿宋_GB2312" w:hAnsi="黑体" w:eastAsia="仿宋_GB2312" w:cs="仿宋_GB2312"/>
          <w:sz w:val="32"/>
          <w:szCs w:val="32"/>
        </w:rPr>
        <w:t>案件。</w:t>
      </w:r>
    </w:p>
    <w:p>
      <w:pPr>
        <w:pStyle w:val="5"/>
        <w:numPr>
          <w:numId w:val="0"/>
        </w:numPr>
        <w:ind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w:t>
      </w:r>
      <w:r>
        <w:rPr>
          <w:rFonts w:hint="eastAsia" w:ascii="仿宋_GB2312" w:hAnsi="黑体" w:eastAsia="仿宋_GB2312" w:cs="仿宋_GB2312"/>
          <w:sz w:val="32"/>
          <w:szCs w:val="32"/>
          <w:lang w:eastAsia="zh-CN"/>
        </w:rPr>
        <w:t>受</w:t>
      </w:r>
      <w:r>
        <w:rPr>
          <w:rFonts w:hint="eastAsia" w:ascii="仿宋_GB2312" w:hAnsi="黑体" w:eastAsia="仿宋_GB2312" w:cs="仿宋_GB2312"/>
          <w:sz w:val="32"/>
          <w:szCs w:val="32"/>
        </w:rPr>
        <w:t>理不服本院</w:t>
      </w:r>
      <w:r>
        <w:rPr>
          <w:rFonts w:hint="eastAsia" w:ascii="仿宋_GB2312" w:hAnsi="黑体" w:eastAsia="仿宋_GB2312" w:cs="仿宋_GB2312"/>
          <w:sz w:val="32"/>
          <w:szCs w:val="32"/>
          <w:lang w:eastAsia="zh-CN"/>
        </w:rPr>
        <w:t>生效裁判</w:t>
      </w:r>
      <w:r>
        <w:rPr>
          <w:rFonts w:hint="eastAsia" w:ascii="仿宋_GB2312" w:hAnsi="黑体" w:eastAsia="仿宋_GB2312" w:cs="仿宋_GB2312"/>
          <w:sz w:val="32"/>
          <w:szCs w:val="32"/>
        </w:rPr>
        <w:t>的各类申诉和</w:t>
      </w:r>
      <w:r>
        <w:rPr>
          <w:rFonts w:hint="eastAsia" w:ascii="仿宋_GB2312" w:hAnsi="黑体" w:eastAsia="仿宋_GB2312" w:cs="仿宋_GB2312"/>
          <w:sz w:val="32"/>
          <w:szCs w:val="32"/>
          <w:lang w:eastAsia="zh-CN"/>
        </w:rPr>
        <w:t>再审申请，</w:t>
      </w:r>
      <w:r>
        <w:rPr>
          <w:rFonts w:hint="eastAsia" w:ascii="仿宋_GB2312" w:hAnsi="黑体" w:eastAsia="仿宋_GB2312" w:cs="仿宋_GB2312"/>
          <w:sz w:val="32"/>
          <w:szCs w:val="32"/>
        </w:rPr>
        <w:t>对其中确有错误的</w:t>
      </w:r>
      <w:r>
        <w:rPr>
          <w:rFonts w:hint="eastAsia" w:ascii="仿宋_GB2312" w:hAnsi="黑体" w:eastAsia="仿宋_GB2312" w:cs="仿宋_GB2312"/>
          <w:sz w:val="32"/>
          <w:szCs w:val="32"/>
          <w:lang w:eastAsia="zh-CN"/>
        </w:rPr>
        <w:t>，提起再</w:t>
      </w:r>
      <w:r>
        <w:rPr>
          <w:rFonts w:hint="eastAsia" w:ascii="仿宋_GB2312" w:hAnsi="黑体" w:eastAsia="仿宋_GB2312" w:cs="仿宋_GB2312"/>
          <w:sz w:val="32"/>
          <w:szCs w:val="32"/>
        </w:rPr>
        <w:t>审。</w:t>
      </w:r>
    </w:p>
    <w:p>
      <w:pPr>
        <w:pStyle w:val="5"/>
        <w:numPr>
          <w:numId w:val="0"/>
        </w:numPr>
        <w:ind w:leftChars="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（四）依法审判由上级法院指定管辖和交办的刑事、民事、行政等案件。</w:t>
      </w:r>
    </w:p>
    <w:p>
      <w:pPr>
        <w:pStyle w:val="5"/>
        <w:numPr>
          <w:numId w:val="0"/>
        </w:numPr>
        <w:ind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五</w:t>
      </w:r>
      <w:r>
        <w:rPr>
          <w:rFonts w:hint="eastAsia" w:ascii="仿宋_GB2312" w:hAnsi="黑体" w:eastAsia="仿宋_GB2312" w:cs="仿宋_GB2312"/>
          <w:sz w:val="32"/>
          <w:szCs w:val="32"/>
        </w:rPr>
        <w:t>）执行本院已</w:t>
      </w:r>
      <w:r>
        <w:rPr>
          <w:rFonts w:hint="eastAsia" w:ascii="仿宋_GB2312" w:hAnsi="黑体" w:eastAsia="仿宋_GB2312" w:cs="仿宋_GB2312"/>
          <w:sz w:val="32"/>
          <w:szCs w:val="32"/>
          <w:lang w:eastAsia="zh-CN"/>
        </w:rPr>
        <w:t>经</w:t>
      </w:r>
      <w:r>
        <w:rPr>
          <w:rFonts w:hint="eastAsia" w:ascii="仿宋_GB2312" w:hAnsi="黑体" w:eastAsia="仿宋_GB2312" w:cs="仿宋_GB2312"/>
          <w:sz w:val="32"/>
          <w:szCs w:val="32"/>
        </w:rPr>
        <w:t>发生法律效力的</w:t>
      </w:r>
      <w:r>
        <w:rPr>
          <w:rFonts w:hint="eastAsia" w:ascii="仿宋_GB2312" w:hAnsi="黑体" w:eastAsia="仿宋_GB2312" w:cs="仿宋_GB2312"/>
          <w:sz w:val="32"/>
          <w:szCs w:val="32"/>
          <w:lang w:eastAsia="zh-CN"/>
        </w:rPr>
        <w:t>第一审</w:t>
      </w:r>
      <w:r>
        <w:rPr>
          <w:rFonts w:hint="eastAsia" w:ascii="仿宋_GB2312" w:hAnsi="黑体" w:eastAsia="仿宋_GB2312" w:cs="仿宋_GB2312"/>
          <w:sz w:val="32"/>
          <w:szCs w:val="32"/>
        </w:rPr>
        <w:t>判决、裁定</w:t>
      </w:r>
      <w:r>
        <w:rPr>
          <w:rFonts w:hint="eastAsia" w:ascii="仿宋_GB2312" w:hAnsi="黑体" w:eastAsia="仿宋_GB2312" w:cs="仿宋_GB2312"/>
          <w:sz w:val="32"/>
          <w:szCs w:val="32"/>
          <w:lang w:eastAsia="zh-CN"/>
        </w:rPr>
        <w:t>以及法律规定应由本院执行</w:t>
      </w:r>
      <w:r>
        <w:rPr>
          <w:rFonts w:hint="eastAsia" w:ascii="仿宋_GB2312" w:hAnsi="黑体" w:eastAsia="仿宋_GB2312" w:cs="仿宋_GB2312"/>
          <w:sz w:val="32"/>
          <w:szCs w:val="32"/>
        </w:rPr>
        <w:t>的</w:t>
      </w:r>
      <w:r>
        <w:rPr>
          <w:rFonts w:hint="eastAsia" w:ascii="仿宋_GB2312" w:hAnsi="黑体" w:eastAsia="仿宋_GB2312" w:cs="仿宋_GB2312"/>
          <w:sz w:val="32"/>
          <w:szCs w:val="32"/>
          <w:lang w:eastAsia="zh-CN"/>
        </w:rPr>
        <w:t>其他生效法律文书</w:t>
      </w:r>
      <w:r>
        <w:rPr>
          <w:rFonts w:hint="eastAsia" w:ascii="仿宋_GB2312" w:hAnsi="黑体" w:eastAsia="仿宋_GB2312" w:cs="仿宋_GB2312"/>
          <w:sz w:val="32"/>
          <w:szCs w:val="32"/>
        </w:rPr>
        <w:t>和外省</w:t>
      </w:r>
      <w:r>
        <w:rPr>
          <w:rFonts w:hint="eastAsia" w:ascii="仿宋_GB2312" w:hAnsi="黑体" w:eastAsia="仿宋_GB2312" w:cs="仿宋_GB2312"/>
          <w:sz w:val="32"/>
          <w:szCs w:val="32"/>
          <w:lang w:eastAsia="zh-CN"/>
        </w:rPr>
        <w:t>市（县）</w:t>
      </w:r>
      <w:r>
        <w:rPr>
          <w:rFonts w:hint="eastAsia" w:ascii="仿宋_GB2312" w:hAnsi="黑体" w:eastAsia="仿宋_GB2312" w:cs="仿宋_GB2312"/>
          <w:sz w:val="32"/>
          <w:szCs w:val="32"/>
        </w:rPr>
        <w:t>法院委托执行的案件。</w:t>
      </w:r>
    </w:p>
    <w:p>
      <w:pPr>
        <w:pStyle w:val="5"/>
        <w:numPr>
          <w:numId w:val="0"/>
        </w:numPr>
        <w:ind w:leftChars="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（六）组织开展调研，对法律、法规、规章等草案提出意见；针对案件中发现的问题提出司法建议。</w:t>
      </w:r>
    </w:p>
    <w:p>
      <w:pPr>
        <w:pStyle w:val="5"/>
        <w:numPr>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（七）加强普法宣传，会同有关部门和社会团体做好未成年人犯罪的预防、审判、教育、感化和挽救工作。教育、引导公民自觉遵守宪法、法律。</w:t>
      </w:r>
    </w:p>
    <w:p>
      <w:pPr>
        <w:pStyle w:val="5"/>
        <w:numPr>
          <w:numId w:val="0"/>
        </w:num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（八）负责本院的思想政治、教育培训</w:t>
      </w:r>
      <w:r>
        <w:rPr>
          <w:rFonts w:hint="eastAsia" w:ascii="仿宋_GB2312" w:hAnsi="黑体" w:eastAsia="仿宋_GB2312" w:cs="仿宋_GB2312"/>
          <w:sz w:val="32"/>
          <w:szCs w:val="32"/>
          <w:lang w:eastAsia="zh-CN"/>
        </w:rPr>
        <w:t>、督察</w:t>
      </w:r>
      <w:r>
        <w:rPr>
          <w:rFonts w:hint="eastAsia" w:ascii="仿宋_GB2312" w:hAnsi="黑体" w:eastAsia="仿宋_GB2312" w:cs="仿宋_GB2312"/>
          <w:sz w:val="32"/>
          <w:szCs w:val="32"/>
        </w:rPr>
        <w:t>工作;按权限管理法官、</w:t>
      </w:r>
      <w:r>
        <w:rPr>
          <w:rFonts w:hint="eastAsia" w:ascii="仿宋_GB2312" w:hAnsi="黑体" w:eastAsia="仿宋_GB2312" w:cs="仿宋_GB2312"/>
          <w:sz w:val="32"/>
          <w:szCs w:val="32"/>
          <w:lang w:eastAsia="zh-CN"/>
        </w:rPr>
        <w:t>法官助理、</w:t>
      </w:r>
      <w:r>
        <w:rPr>
          <w:rFonts w:hint="eastAsia" w:ascii="仿宋_GB2312" w:hAnsi="黑体" w:eastAsia="仿宋_GB2312" w:cs="仿宋_GB2312"/>
          <w:sz w:val="32"/>
          <w:szCs w:val="32"/>
        </w:rPr>
        <w:t>书记员、司法警察及司法行政人员。</w:t>
      </w:r>
    </w:p>
    <w:p>
      <w:pPr>
        <w:pStyle w:val="5"/>
        <w:numPr>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（九）依照规定协同上级职能部门做好机构编制管理，以及干部考核、培养和选拔任用工作。</w:t>
      </w:r>
    </w:p>
    <w:p>
      <w:pPr>
        <w:pStyle w:val="5"/>
        <w:numPr>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十</w:t>
      </w:r>
      <w:r>
        <w:rPr>
          <w:rFonts w:hint="eastAsia" w:ascii="仿宋_GB2312" w:hAnsi="黑体" w:eastAsia="仿宋_GB2312" w:cs="仿宋_GB2312"/>
          <w:sz w:val="32"/>
          <w:szCs w:val="32"/>
        </w:rPr>
        <w:t>）负责本院的司法行政工作，管理本院的</w:t>
      </w:r>
      <w:r>
        <w:rPr>
          <w:rFonts w:hint="eastAsia" w:ascii="仿宋_GB2312" w:hAnsi="黑体" w:eastAsia="仿宋_GB2312" w:cs="仿宋_GB2312"/>
          <w:sz w:val="32"/>
          <w:szCs w:val="32"/>
          <w:lang w:eastAsia="zh-CN"/>
        </w:rPr>
        <w:t>国有资产、经费财产、物资装备和基本建设</w:t>
      </w:r>
      <w:r>
        <w:rPr>
          <w:rFonts w:hint="eastAsia" w:ascii="仿宋_GB2312" w:hAnsi="黑体" w:eastAsia="仿宋_GB2312" w:cs="仿宋_GB2312"/>
          <w:sz w:val="32"/>
          <w:szCs w:val="32"/>
        </w:rPr>
        <w:t>。</w:t>
      </w:r>
    </w:p>
    <w:p>
      <w:pPr>
        <w:pStyle w:val="5"/>
        <w:numPr>
          <w:numId w:val="0"/>
        </w:numPr>
        <w:ind w:leftChars="0"/>
        <w:jc w:val="left"/>
        <w:rPr>
          <w:rFonts w:ascii="黑体" w:hAnsi="黑体" w:eastAsia="黑体"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（十二）</w:t>
      </w:r>
      <w:r>
        <w:rPr>
          <w:rFonts w:hint="eastAsia" w:ascii="仿宋_GB2312" w:hAnsi="黑体" w:eastAsia="仿宋_GB2312" w:cs="仿宋_GB2312"/>
          <w:sz w:val="32"/>
          <w:szCs w:val="32"/>
          <w:lang w:eastAsia="zh-CN"/>
        </w:rPr>
        <w:t>完成</w:t>
      </w:r>
      <w:r>
        <w:rPr>
          <w:rFonts w:hint="eastAsia" w:ascii="仿宋_GB2312" w:hAnsi="黑体" w:eastAsia="仿宋_GB2312" w:cs="仿宋_GB2312"/>
          <w:sz w:val="32"/>
          <w:szCs w:val="32"/>
        </w:rPr>
        <w:t>市委、市人大和上级人民法院交办的其</w:t>
      </w:r>
      <w:r>
        <w:rPr>
          <w:rFonts w:hint="eastAsia" w:ascii="仿宋_GB2312" w:hAnsi="黑体" w:eastAsia="仿宋_GB2312" w:cs="仿宋_GB2312"/>
          <w:sz w:val="32"/>
          <w:szCs w:val="32"/>
          <w:lang w:eastAsia="zh-CN"/>
        </w:rPr>
        <w:t>他</w:t>
      </w:r>
      <w:r>
        <w:rPr>
          <w:rFonts w:hint="eastAsia" w:ascii="仿宋_GB2312" w:hAnsi="黑体" w:eastAsia="仿宋_GB2312" w:cs="仿宋_GB2312"/>
          <w:sz w:val="32"/>
          <w:szCs w:val="32"/>
        </w:rPr>
        <w:t>工作。</w:t>
      </w:r>
    </w:p>
    <w:p>
      <w:pPr>
        <w:pStyle w:val="5"/>
        <w:numPr>
          <w:ilvl w:val="0"/>
          <w:numId w:val="5"/>
        </w:numPr>
        <w:ind w:firstLineChars="0"/>
        <w:jc w:val="left"/>
        <w:rPr>
          <w:rFonts w:ascii="黑体" w:hAnsi="黑体" w:eastAsia="黑体" w:cs="仿宋_GB2312"/>
          <w:sz w:val="32"/>
          <w:szCs w:val="32"/>
          <w:shd w:val="clear" w:color="auto" w:fill="auto"/>
        </w:rPr>
      </w:pPr>
      <w:r>
        <w:rPr>
          <w:rFonts w:hint="eastAsia" w:ascii="黑体" w:hAnsi="黑体" w:eastAsia="黑体" w:cs="仿宋_GB2312"/>
          <w:sz w:val="32"/>
          <w:szCs w:val="32"/>
          <w:shd w:val="clear" w:color="auto" w:fill="auto"/>
        </w:rPr>
        <w:t>部门预算单位构成</w:t>
      </w:r>
    </w:p>
    <w:p>
      <w:pPr>
        <w:pStyle w:val="5"/>
        <w:numPr>
          <w:numId w:val="0"/>
        </w:numPr>
        <w:ind w:leftChars="0"/>
        <w:jc w:val="left"/>
        <w:rPr>
          <w:rFonts w:hint="eastAsia" w:ascii="仿宋_GB2312" w:hAnsi="黑体" w:eastAsia="仿宋_GB2312" w:cs="仿宋_GB2312"/>
          <w:kern w:val="2"/>
          <w:sz w:val="32"/>
          <w:szCs w:val="32"/>
          <w:lang w:val="en-US" w:eastAsia="zh-CN" w:bidi="ar-SA"/>
        </w:rPr>
      </w:pPr>
      <w:r>
        <w:rPr>
          <w:rFonts w:hint="eastAsia" w:ascii="黑体" w:hAnsi="黑体" w:eastAsia="黑体" w:cs="仿宋_GB2312"/>
          <w:sz w:val="32"/>
          <w:szCs w:val="32"/>
          <w:lang w:val="en-US" w:eastAsia="zh-CN"/>
        </w:rPr>
        <w:t xml:space="preserve">     </w:t>
      </w:r>
      <w:r>
        <w:rPr>
          <w:rFonts w:hint="eastAsia" w:ascii="仿宋_GB2312" w:hAnsi="黑体" w:eastAsia="仿宋_GB2312" w:cs="仿宋_GB2312"/>
          <w:kern w:val="2"/>
          <w:sz w:val="32"/>
          <w:szCs w:val="32"/>
          <w:lang w:val="en-US" w:eastAsia="zh-CN" w:bidi="ar-SA"/>
        </w:rPr>
        <w:t>三亚市城郊人民法院2021年部门预算编制范围只有部门本级1家预算单位，单位内设有办公室、政治部、机关党委、立案庭、刑事审判庭、民事审判庭、行政审判庭、执行局、旅游审判庭、审判管理办公室、吉阳人民法庭、天涯人民法庭、崖城人民法庭、海棠湾人民法庭和司法法警大队15个部门。</w:t>
      </w:r>
    </w:p>
    <w:p>
      <w:pPr>
        <w:pStyle w:val="5"/>
        <w:numPr>
          <w:numId w:val="0"/>
        </w:numPr>
        <w:ind w:leftChars="0"/>
        <w:jc w:val="left"/>
        <w:rPr>
          <w:rFonts w:hint="eastAsia" w:ascii="仿宋_GB2312" w:hAnsi="黑体" w:eastAsia="仿宋_GB2312" w:cs="仿宋_GB2312"/>
          <w:kern w:val="2"/>
          <w:sz w:val="32"/>
          <w:szCs w:val="32"/>
          <w:lang w:val="en-US" w:eastAsia="zh-CN" w:bidi="ar-SA"/>
        </w:rPr>
      </w:pPr>
    </w:p>
    <w:p>
      <w:pPr>
        <w:ind w:firstLine="640" w:firstLineChars="200"/>
        <w:rPr>
          <w:rFonts w:ascii="黑体" w:hAnsi="黑体" w:eastAsia="黑体"/>
          <w:sz w:val="32"/>
          <w:szCs w:val="32"/>
          <w:shd w:val="clear" w:color="auto" w:fill="auto"/>
        </w:rPr>
      </w:pPr>
      <w:r>
        <w:rPr>
          <w:rFonts w:hint="eastAsia" w:ascii="黑体" w:hAnsi="黑体" w:eastAsia="黑体"/>
          <w:sz w:val="32"/>
          <w:szCs w:val="32"/>
          <w:shd w:val="clear" w:color="auto" w:fill="auto"/>
        </w:rPr>
        <w:t xml:space="preserve">第二部分 </w:t>
      </w:r>
      <w:r>
        <w:rPr>
          <w:rFonts w:hint="eastAsia" w:ascii="仿宋_GB2312" w:hAnsi="黑体" w:eastAsia="仿宋_GB2312" w:cs="仿宋_GB2312"/>
          <w:sz w:val="32"/>
          <w:szCs w:val="32"/>
          <w:shd w:val="clear" w:color="auto" w:fill="auto"/>
        </w:rPr>
        <w:t xml:space="preserve"> </w:t>
      </w:r>
      <w:r>
        <w:rPr>
          <w:rFonts w:hint="eastAsia" w:ascii="黑体" w:hAnsi="黑体" w:eastAsia="黑体"/>
          <w:sz w:val="32"/>
          <w:szCs w:val="32"/>
          <w:shd w:val="clear" w:color="auto" w:fill="auto"/>
          <w:lang w:eastAsia="zh-CN"/>
        </w:rPr>
        <w:t>三亚市城郊人民法院</w:t>
      </w:r>
      <w:r>
        <w:rPr>
          <w:rFonts w:hint="eastAsia" w:ascii="黑体" w:hAnsi="黑体" w:eastAsia="黑体"/>
          <w:sz w:val="32"/>
          <w:szCs w:val="32"/>
          <w:shd w:val="clear" w:color="auto" w:fill="auto"/>
          <w:lang w:val="en-US" w:eastAsia="zh-CN"/>
        </w:rPr>
        <w:t>2021</w:t>
      </w:r>
      <w:r>
        <w:rPr>
          <w:rFonts w:hint="eastAsia" w:ascii="黑体" w:hAnsi="黑体" w:eastAsia="黑体"/>
          <w:sz w:val="32"/>
          <w:szCs w:val="32"/>
          <w:shd w:val="clear" w:color="auto" w:fill="auto"/>
        </w:rPr>
        <w:t>年部门预算表</w:t>
      </w:r>
    </w:p>
    <w:p>
      <w:pPr>
        <w:ind w:left="800"/>
        <w:jc w:val="left"/>
        <w:rPr>
          <w:rFonts w:ascii="黑体" w:hAnsi="黑体" w:eastAsia="黑体"/>
          <w:sz w:val="32"/>
          <w:szCs w:val="32"/>
        </w:rPr>
      </w:pPr>
    </w:p>
    <w:p>
      <w:pPr>
        <w:ind w:left="8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《2021年三亚市城郊人民法院部门预算表》详见附件。</w:t>
      </w: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三亚市城郊人民法院</w:t>
      </w:r>
      <w:r>
        <w:rPr>
          <w:rFonts w:hint="eastAsia" w:ascii="黑体" w:hAnsi="黑体" w:eastAsia="黑体"/>
          <w:sz w:val="32"/>
          <w:szCs w:val="32"/>
          <w:lang w:val="en-US" w:eastAsia="zh-CN"/>
        </w:rPr>
        <w:t>2021</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三亚市城郊人民法院</w:t>
      </w:r>
      <w:r>
        <w:rPr>
          <w:rFonts w:hint="eastAsia" w:ascii="黑体" w:hAnsi="黑体" w:eastAsia="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7296.11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7296.11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6935.96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360.15</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7296.11</w:t>
      </w:r>
      <w:r>
        <w:rPr>
          <w:rFonts w:hint="eastAsia" w:ascii="仿宋_GB2312" w:hAnsi="黑体" w:eastAsia="仿宋_GB2312"/>
          <w:sz w:val="32"/>
          <w:szCs w:val="32"/>
        </w:rPr>
        <w:t>万元，包括</w:t>
      </w: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6399.22万元、 社会保障和就业支出332.29万元、 卫生健康支出367.76万元、住房保障支出196.84万元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三亚市城郊人民法院</w:t>
      </w:r>
      <w:r>
        <w:rPr>
          <w:rFonts w:hint="eastAsia" w:ascii="黑体" w:hAnsi="黑体" w:eastAsia="黑体"/>
          <w:sz w:val="32"/>
          <w:szCs w:val="32"/>
          <w:lang w:val="en-US" w:eastAsia="zh-CN"/>
        </w:rPr>
        <w:t>2</w:t>
      </w:r>
      <w:r>
        <w:rPr>
          <w:rFonts w:hint="eastAsia" w:ascii="仿宋_GB2312" w:hAnsi="黑体" w:eastAsia="仿宋_GB2312" w:cs="仿宋_GB2312"/>
          <w:sz w:val="32"/>
          <w:szCs w:val="32"/>
          <w:lang w:val="en-US" w:eastAsia="zh-CN"/>
        </w:rPr>
        <w:t>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7296.11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1056.2</w:t>
      </w:r>
      <w:r>
        <w:rPr>
          <w:rFonts w:hint="eastAsia" w:ascii="仿宋_GB2312" w:hAnsi="黑体" w:eastAsia="仿宋_GB2312"/>
          <w:sz w:val="32"/>
          <w:szCs w:val="32"/>
        </w:rPr>
        <w:t>万元，主要</w:t>
      </w:r>
      <w:r>
        <w:rPr>
          <w:rFonts w:hint="eastAsia" w:ascii="仿宋_GB2312" w:hAnsi="黑体" w:eastAsia="仿宋_GB2312"/>
          <w:color w:val="auto"/>
          <w:sz w:val="32"/>
          <w:szCs w:val="32"/>
        </w:rPr>
        <w:t>是</w:t>
      </w:r>
      <w:r>
        <w:rPr>
          <w:rFonts w:hint="eastAsia" w:ascii="仿宋_GB2312" w:hAnsi="黑体" w:eastAsia="仿宋_GB2312"/>
          <w:color w:val="auto"/>
          <w:sz w:val="32"/>
          <w:szCs w:val="32"/>
          <w:lang w:eastAsia="zh-CN"/>
        </w:rPr>
        <w:t>预算编制政策变化，增加了相关办案经费预算。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lang w:eastAsia="zh-CN"/>
        </w:rPr>
        <w:t>公共安全</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6399.22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87.71</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332.29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4.55</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367.76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5.04</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196.84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一般公共预算当年拨款具体使用情况</w:t>
      </w:r>
    </w:p>
    <w:p>
      <w:pPr>
        <w:numPr>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仿宋_GB2312" w:eastAsia="仿宋_GB2312" w:cs="仿宋_GB2312"/>
          <w:sz w:val="32"/>
          <w:szCs w:val="32"/>
          <w:lang w:val="en-US" w:eastAsia="zh-CN"/>
        </w:rPr>
        <w:t>1. 公共安全支出（类）法院（款）行政运行（项）2021</w:t>
      </w:r>
      <w:r>
        <w:rPr>
          <w:rFonts w:hint="eastAsia" w:ascii="仿宋_GB2312" w:hAnsi="黑体" w:eastAsia="仿宋_GB2312" w:cs="仿宋_GB2312"/>
          <w:sz w:val="32"/>
          <w:szCs w:val="32"/>
          <w:lang w:val="en-US" w:eastAsia="zh-CN"/>
        </w:rPr>
        <w:t>年预算数为4403.52万元，比上年预算数增加849.87万元，主要是2021年预算编制政策变化，将原“其他法院支出”项的部分预算经费放入该项中，及人员增加导致的经费增加。</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公共安全支出（类）法院（款）一般行政管理事务（项）2021年预算数为470.31万元，比上年预算数增加470.31万元，主要是2021年预算编制政策变化，将原“其他法院支出”项的部分预算经费放入该项中，以及相关任务经费的增加。</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 公共安全支出（类）法院（款）案件审判（项）2021年预算数为43.8万元，比上年预算数减少33.2万元，主要是贯彻厉行节约政策，减少不必要的经费支出，及优化资金结构，提高预算执行率。</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公共安全支出（类）法院（款）案件执行（项）2021年预算数为2万元，与上年预算数持平。</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公共安全支出（类）法院（款）其他法院支出（项）2021年预算数为1479.59万元，比上年预算数减少116.63万元，主要是今年预算编制政策变化，将该项中部分经费放入“一般行政管理事务”等项中、今年无相关经费支出及贯彻厉行节约政策，避免资源浪费，减少不必要的经费支出。</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社会保障和就业支出（类）行政事业单位养老支出（款）机关事业单位基本养老保险缴费支出（项）2021年预算数为327.38万元，比上年预算数增加17.52万元，主要是由于人员增加、工资保险缴纳政策等变化的原因。</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7.社会保障和就业支出（类）抚恤（款）其他优抚支出（项）2021年预算数为4.91万元，比上年预算数增加1.84万元，主要是按照抚恤发放标准做的调整。</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卫生健康支出（类）行政事业单位医疗（款）行政单位医疗（项）2021年预算数为173.92万元，比上年预算数增加9.31万元，主要是由于人员增加及工资保险缴纳政策等变化的原因。</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卫生健康支出（类）行政事业单位医疗（款）公务员医疗补助（项）2021年预算数为193.85万元，比上年预算数减少64.91万元，主要是由于工资保险缴纳政策等变化的原因</w:t>
      </w:r>
      <w:r>
        <w:rPr>
          <w:rFonts w:hint="eastAsia" w:ascii="仿宋_GB2312" w:hAnsi="仿宋_GB2312" w:eastAsia="仿宋_GB2312" w:cs="仿宋_GB2312"/>
          <w:sz w:val="32"/>
          <w:szCs w:val="32"/>
          <w:lang w:val="en-US" w:eastAsia="zh-CN"/>
        </w:rPr>
        <w:t>。</w:t>
      </w:r>
    </w:p>
    <w:p>
      <w:pPr>
        <w:widowControl w:val="0"/>
        <w:numPr>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住房保障支出（类）住房改革支出（款）住房公积金（项）2021年预算数为196.84万元，比上年预算数减少77.9万元，主要是由于工资保险缴纳政策等变化的原因</w:t>
      </w:r>
      <w:r>
        <w:rPr>
          <w:rFonts w:hint="eastAsia" w:ascii="仿宋_GB2312" w:hAnsi="仿宋_GB2312" w:eastAsia="仿宋_GB2312" w:cs="仿宋_GB2312"/>
          <w:color w:val="auto"/>
          <w:sz w:val="32"/>
          <w:szCs w:val="32"/>
          <w:lang w:val="en-US"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三亚市城郊人民法院</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5300.41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4939.91</w:t>
      </w:r>
      <w:r>
        <w:rPr>
          <w:rFonts w:hint="eastAsia" w:ascii="仿宋_GB2312" w:hAnsi="黑体" w:eastAsia="仿宋_GB2312"/>
          <w:sz w:val="32"/>
          <w:szCs w:val="32"/>
        </w:rPr>
        <w:t>万元，主要包括：基本工资、津贴补贴、奖金、机关事业单位基本养老保险缴费、城镇职工基本医疗保险缴费、公务员医疗补助缴费、其他社会保障缴费、住房公积金、医疗费、其他工资福利支出、邮电费、其他交通费用</w:t>
      </w:r>
      <w:r>
        <w:rPr>
          <w:rFonts w:hint="eastAsia" w:ascii="仿宋_GB2312" w:hAnsi="黑体" w:eastAsia="仿宋_GB2312"/>
          <w:sz w:val="32"/>
          <w:szCs w:val="32"/>
          <w:lang w:eastAsia="zh-CN"/>
        </w:rPr>
        <w:t>、生活补助、奖励金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360.5</w:t>
      </w:r>
      <w:r>
        <w:rPr>
          <w:rFonts w:hint="eastAsia" w:ascii="仿宋_GB2312" w:hAnsi="黑体" w:eastAsia="仿宋_GB2312"/>
          <w:sz w:val="32"/>
          <w:szCs w:val="32"/>
        </w:rPr>
        <w:t>万元，主要包括：其他工资福利支出</w:t>
      </w:r>
      <w:r>
        <w:rPr>
          <w:rFonts w:hint="eastAsia" w:ascii="仿宋_GB2312" w:hAnsi="黑体" w:eastAsia="仿宋_GB2312"/>
          <w:sz w:val="32"/>
          <w:szCs w:val="32"/>
          <w:lang w:eastAsia="zh-CN"/>
        </w:rPr>
        <w:t>、手续费、</w:t>
      </w:r>
      <w:r>
        <w:rPr>
          <w:rFonts w:hint="eastAsia" w:ascii="仿宋_GB2312" w:hAnsi="黑体" w:eastAsia="仿宋_GB2312"/>
          <w:sz w:val="32"/>
          <w:szCs w:val="32"/>
        </w:rPr>
        <w:t>水费、电费、物业管理费、培训费、工会经费、公务用车运行维护费、其他商品和服务支出。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三亚市城郊人民法院</w:t>
      </w:r>
      <w:r>
        <w:rPr>
          <w:rFonts w:hint="eastAsia" w:ascii="黑体" w:hAnsi="黑体" w:eastAsia="黑体" w:cs="Times New Roman"/>
          <w:sz w:val="32"/>
          <w:shd w:val="clear" w:color="auto" w:fill="FFFFFF"/>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114</w:t>
      </w:r>
      <w:r>
        <w:rPr>
          <w:rFonts w:hint="eastAsia" w:ascii="仿宋_GB2312" w:hAnsi="黑体" w:eastAsia="仿宋_GB2312"/>
          <w:sz w:val="32"/>
          <w:szCs w:val="32"/>
        </w:rPr>
        <w:t>万元，其中：</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hint="eastAsia" w:ascii="Times New Roman" w:hAnsi="Times New Roman" w:eastAsia="仿宋_GB2312" w:cs="Times New Roman"/>
          <w:color w:val="auto"/>
          <w:sz w:val="32"/>
          <w:shd w:val="clear" w:color="auto" w:fill="FFFFFF"/>
        </w:rPr>
        <w:t>根据20</w:t>
      </w:r>
      <w:r>
        <w:rPr>
          <w:rFonts w:hint="eastAsia" w:ascii="Times New Roman" w:hAnsi="Times New Roman" w:eastAsia="仿宋_GB2312" w:cs="Times New Roman"/>
          <w:color w:val="auto"/>
          <w:sz w:val="32"/>
          <w:shd w:val="clear" w:color="auto" w:fill="FFFFFF"/>
          <w:lang w:val="en-US" w:eastAsia="zh-CN"/>
        </w:rPr>
        <w:t>21</w:t>
      </w:r>
      <w:r>
        <w:rPr>
          <w:rFonts w:hint="eastAsia" w:ascii="Times New Roman" w:hAnsi="Times New Roman" w:eastAsia="仿宋_GB2312" w:cs="Times New Roman"/>
          <w:color w:val="auto"/>
          <w:sz w:val="32"/>
          <w:shd w:val="clear" w:color="auto" w:fill="FFFFFF"/>
        </w:rPr>
        <w:t>年出国计划，拟安排出国（境）组1次，出国（境）1人，具体出国计划根据上级的工作安排决定；</w:t>
      </w:r>
      <w:r>
        <w:rPr>
          <w:rFonts w:ascii="Times New Roman" w:hAnsi="Times New Roman" w:eastAsia="仿宋_GB2312" w:cs="Times New Roman"/>
          <w:color w:val="auto"/>
          <w:sz w:val="32"/>
          <w:shd w:val="clear" w:color="auto" w:fill="FFFFFF"/>
        </w:rPr>
        <w:t>公务用</w:t>
      </w:r>
      <w:r>
        <w:rPr>
          <w:rFonts w:ascii="Times New Roman" w:hAnsi="Times New Roman" w:eastAsia="仿宋_GB2312" w:cs="Times New Roman"/>
          <w:sz w:val="32"/>
          <w:shd w:val="clear" w:color="auto" w:fill="FFFFFF"/>
        </w:rPr>
        <w:t>车购置及</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104</w:t>
      </w:r>
      <w:r>
        <w:rPr>
          <w:rFonts w:hint="eastAsia" w:ascii="仿宋_GB2312" w:hAnsi="黑体" w:eastAsia="仿宋_GB2312"/>
          <w:color w:val="auto"/>
          <w:sz w:val="32"/>
          <w:szCs w:val="32"/>
        </w:rPr>
        <w:t>万元（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104</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19</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年预算下降</w:t>
      </w:r>
      <w:r>
        <w:rPr>
          <w:rFonts w:hint="eastAsia" w:ascii="仿宋_GB2312" w:hAnsi="黑体" w:eastAsia="仿宋_GB2312" w:cs="仿宋_GB2312"/>
          <w:color w:val="auto"/>
          <w:sz w:val="32"/>
          <w:szCs w:val="32"/>
          <w:lang w:val="en-US" w:eastAsia="zh-CN"/>
        </w:rPr>
        <w:t>100</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下降的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贯彻厉行节约政策，及由于疫情影响，</w:t>
      </w:r>
      <w:r>
        <w:rPr>
          <w:rFonts w:hint="eastAsia" w:ascii="Times New Roman" w:hAnsi="Times New Roman" w:eastAsia="仿宋_GB2312" w:cs="Times New Roman"/>
          <w:color w:val="auto"/>
          <w:sz w:val="32"/>
          <w:shd w:val="clear" w:color="auto" w:fill="FFFFFF"/>
          <w:lang w:val="en-US" w:eastAsia="zh-CN"/>
        </w:rPr>
        <w:t>2020年公务接待支出额较少，与预算额差别较大，且今年可能仍有疫情的不确定因素存在，该项经费今年的支出情况不确定，故年初预算中暂未编制该项预算金额，因此该项预算较上年减少</w:t>
      </w:r>
      <w:r>
        <w:rPr>
          <w:rFonts w:hint="eastAsia" w:ascii="Times New Roman" w:hAnsi="Times New Roman" w:eastAsia="仿宋_GB2312" w:cs="Times New Roman"/>
          <w:color w:val="auto"/>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三亚市城郊人民法院</w:t>
      </w:r>
      <w:r>
        <w:rPr>
          <w:rFonts w:hint="eastAsia" w:ascii="黑体" w:hAnsi="黑体" w:eastAsia="黑体" w:cs="Times New Roman"/>
          <w:sz w:val="32"/>
          <w:shd w:val="clear" w:color="auto" w:fill="FFFFFF"/>
          <w:lang w:val="en-US" w:eastAsia="zh-CN"/>
        </w:rPr>
        <w:t>2021</w:t>
      </w:r>
      <w:r>
        <w:rPr>
          <w:rFonts w:hint="eastAsia" w:ascii="黑体" w:hAnsi="黑体" w:eastAsia="黑体" w:cs="Times New Roman"/>
          <w:sz w:val="32"/>
          <w:shd w:val="clear" w:color="auto" w:fill="FFFFFF"/>
        </w:rPr>
        <w:t>年政府性基金预算当年拨款情况说明</w:t>
      </w:r>
    </w:p>
    <w:p>
      <w:pPr>
        <w:ind w:firstLine="640" w:firstLineChars="200"/>
        <w:rPr>
          <w:rFonts w:hint="eastAsia" w:ascii="楷体" w:hAnsi="楷体" w:eastAsia="楷体"/>
          <w:sz w:val="32"/>
          <w:szCs w:val="32"/>
        </w:rPr>
      </w:pPr>
      <w:r>
        <w:rPr>
          <w:rFonts w:hint="eastAsia" w:ascii="楷体" w:hAnsi="楷体" w:eastAsia="楷体"/>
          <w:sz w:val="32"/>
          <w:szCs w:val="32"/>
        </w:rPr>
        <w:t>本部门无政府性基金预算。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三亚市城郊人民法院</w:t>
      </w:r>
      <w:r>
        <w:rPr>
          <w:rFonts w:hint="eastAsia" w:ascii="黑体" w:hAnsi="黑体" w:eastAsia="黑体" w:cs="Times New Roman"/>
          <w:sz w:val="32"/>
          <w:shd w:val="clear" w:color="auto" w:fill="FFFFFF"/>
          <w:lang w:val="en-US" w:eastAsia="zh-CN"/>
        </w:rPr>
        <w:t>2021</w:t>
      </w:r>
      <w:r>
        <w:rPr>
          <w:rFonts w:hint="eastAsia" w:ascii="黑体" w:hAnsi="黑体" w:eastAsia="黑体" w:cs="Times New Roman"/>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所有收入和支出均纳入部门预算管理。收入包括：一般公共预算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w:t>
      </w:r>
      <w:r>
        <w:rPr>
          <w:rFonts w:hint="eastAsia" w:ascii="仿宋_GB2312" w:hAnsi="黑体" w:eastAsia="仿宋_GB2312" w:cs="仿宋_GB2312"/>
          <w:sz w:val="32"/>
          <w:szCs w:val="32"/>
          <w:lang w:eastAsia="zh-CN"/>
        </w:rPr>
        <w:t>上年结转</w:t>
      </w:r>
      <w:r>
        <w:rPr>
          <w:rFonts w:hint="eastAsia" w:ascii="仿宋_GB2312" w:hAnsi="黑体" w:eastAsia="仿宋_GB2312"/>
          <w:sz w:val="32"/>
          <w:szCs w:val="32"/>
        </w:rPr>
        <w:t>；支出包括：公共安全支出、社会保障和就业支出、卫生健康支出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7296.11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三亚市城郊人民法院</w:t>
      </w:r>
      <w:r>
        <w:rPr>
          <w:rFonts w:hint="eastAsia" w:ascii="黑体" w:hAnsi="黑体" w:eastAsia="黑体" w:cs="Times New Roman"/>
          <w:sz w:val="3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7296.11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360.15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4.94</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6935.96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95.06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1056.2</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预算编制政策变化，增加了上年结转经费及相关办案经费预算</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三亚市城郊人民法院</w:t>
      </w:r>
      <w:r>
        <w:rPr>
          <w:rFonts w:hint="eastAsia" w:ascii="黑体" w:hAnsi="黑体" w:eastAsia="黑体" w:cs="Times New Roman"/>
          <w:sz w:val="32"/>
          <w:shd w:val="clear" w:color="auto" w:fill="FFFFFF"/>
          <w:lang w:val="en-US" w:eastAsia="zh-CN"/>
        </w:rPr>
        <w:t>2021</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7296.11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5300.41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72.65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1995.7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27.35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1056.2</w:t>
      </w:r>
      <w:r>
        <w:rPr>
          <w:rFonts w:hint="eastAsia" w:ascii="仿宋_GB2312" w:hAnsi="黑体" w:eastAsia="仿宋_GB2312"/>
          <w:sz w:val="32"/>
          <w:szCs w:val="32"/>
        </w:rPr>
        <w:t>万元，主</w:t>
      </w:r>
      <w:r>
        <w:rPr>
          <w:rFonts w:hint="eastAsia" w:ascii="仿宋_GB2312" w:hAnsi="黑体" w:eastAsia="仿宋_GB2312"/>
          <w:color w:val="auto"/>
          <w:sz w:val="32"/>
          <w:szCs w:val="32"/>
        </w:rPr>
        <w:t>要是</w:t>
      </w:r>
      <w:r>
        <w:rPr>
          <w:rFonts w:hint="eastAsia" w:ascii="仿宋_GB2312" w:hAnsi="黑体" w:eastAsia="仿宋_GB2312"/>
          <w:color w:val="auto"/>
          <w:sz w:val="32"/>
          <w:szCs w:val="32"/>
          <w:lang w:eastAsia="zh-CN"/>
        </w:rPr>
        <w:t>预算编制政策变化，增加了相关办案经费支出预算。</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360.5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651</w:t>
      </w:r>
      <w:bookmarkStart w:id="0" w:name="_GoBack"/>
      <w:bookmarkEnd w:id="0"/>
      <w:r>
        <w:rPr>
          <w:rFonts w:hint="eastAsia" w:ascii="仿宋_GB2312" w:hAnsi="黑体" w:eastAsia="仿宋_GB2312"/>
          <w:sz w:val="32"/>
          <w:szCs w:val="32"/>
        </w:rPr>
        <w:t>万</w:t>
      </w:r>
      <w:r>
        <w:rPr>
          <w:rFonts w:hint="eastAsia" w:ascii="仿宋_GB2312" w:hAnsi="黑体" w:eastAsia="仿宋_GB2312"/>
          <w:color w:val="auto"/>
          <w:sz w:val="32"/>
          <w:szCs w:val="32"/>
        </w:rPr>
        <w:t>元，其中：政府采购货物预算</w:t>
      </w:r>
      <w:r>
        <w:rPr>
          <w:rFonts w:hint="eastAsia" w:ascii="仿宋_GB2312" w:hAnsi="黑体" w:eastAsia="仿宋_GB2312"/>
          <w:color w:val="auto"/>
          <w:sz w:val="32"/>
          <w:szCs w:val="32"/>
          <w:lang w:val="en-US" w:eastAsia="zh-CN"/>
        </w:rPr>
        <w:t>358</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293</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本级共有车辆</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辆，其中，机要通信用车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辆、执法执勤用车</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应急保障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2021</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eastAsia="zh-CN"/>
        </w:rPr>
        <w:t>三亚市城郊人民法院</w:t>
      </w:r>
      <w:r>
        <w:rPr>
          <w:rFonts w:hint="eastAsia" w:ascii="仿宋_GB2312" w:hAnsi="黑体" w:eastAsia="仿宋_GB2312" w:cs="仿宋_GB2312"/>
          <w:color w:val="auto"/>
          <w:sz w:val="32"/>
          <w:szCs w:val="32"/>
          <w:lang w:val="en-US" w:eastAsia="zh-CN"/>
        </w:rPr>
        <w:t>18</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6012.94</w:t>
      </w:r>
      <w:r>
        <w:rPr>
          <w:rFonts w:hint="eastAsia" w:ascii="仿宋_GB2312" w:hAnsi="黑体" w:eastAsia="仿宋_GB2312"/>
          <w:color w:val="auto"/>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、公共安全支出（类）法院（款）行政运行（项）：指行政单位（包括实行公务员管理的事业单位）的基本支出。</w:t>
      </w:r>
    </w:p>
    <w:p>
      <w:pPr>
        <w:ind w:firstLine="640" w:firstLineChars="200"/>
        <w:jc w:val="left"/>
        <w:rPr>
          <w:rFonts w:hint="eastAsia"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w:t>
      </w:r>
      <w:r>
        <w:rPr>
          <w:rFonts w:hint="eastAsia" w:ascii="仿宋_GB2312" w:hAnsi="宋体" w:eastAsia="仿宋_GB2312" w:cs="宋体"/>
          <w:color w:val="auto"/>
          <w:kern w:val="0"/>
          <w:sz w:val="32"/>
          <w:szCs w:val="30"/>
          <w:lang w:eastAsia="zh-CN"/>
        </w:rPr>
        <w:t>四</w:t>
      </w:r>
      <w:r>
        <w:rPr>
          <w:rFonts w:hint="eastAsia" w:ascii="仿宋_GB2312" w:hAnsi="宋体" w:eastAsia="仿宋_GB2312" w:cs="宋体"/>
          <w:color w:val="auto"/>
          <w:kern w:val="0"/>
          <w:sz w:val="32"/>
          <w:szCs w:val="30"/>
        </w:rPr>
        <w:t>、公共安全支出（类）法院（款）一般行政管理事务（项）</w:t>
      </w:r>
      <w:r>
        <w:rPr>
          <w:rFonts w:hint="eastAsia" w:ascii="仿宋_GB2312" w:hAnsi="宋体" w:eastAsia="仿宋_GB2312" w:cs="宋体"/>
          <w:color w:val="auto"/>
          <w:kern w:val="0"/>
          <w:sz w:val="32"/>
          <w:szCs w:val="30"/>
          <w:lang w:eastAsia="zh-CN"/>
        </w:rPr>
        <w:t>：指反映行政单位（</w:t>
      </w:r>
      <w:r>
        <w:rPr>
          <w:rFonts w:hint="eastAsia" w:ascii="仿宋_GB2312" w:hAnsi="宋体" w:eastAsia="仿宋_GB2312" w:cs="宋体"/>
          <w:color w:val="000000"/>
          <w:kern w:val="0"/>
          <w:sz w:val="32"/>
          <w:szCs w:val="30"/>
        </w:rPr>
        <w:t>包括实行公务员管理的事业单位</w:t>
      </w:r>
      <w:r>
        <w:rPr>
          <w:rFonts w:hint="eastAsia" w:ascii="仿宋_GB2312" w:hAnsi="宋体" w:eastAsia="仿宋_GB2312" w:cs="宋体"/>
          <w:color w:val="auto"/>
          <w:kern w:val="0"/>
          <w:sz w:val="32"/>
          <w:szCs w:val="30"/>
          <w:lang w:eastAsia="zh-CN"/>
        </w:rPr>
        <w:t>）未单独设置项级科目的其他项目支出。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、公共安全支出（类）法院（款）案件审判（项）：指反映人民法院对刑事、民事、行政、涉外等案件审判活动的支出。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、公共安全支出（类）法院（款）案件执行（项）：指反映人民法院对刑事、民事、行政、涉外等案件执行活动和对各种非诉执行活动的支出。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、公共安全支出（类）法院（款）其他法院支出（项）：指反映除行政运行、一般行政管理事务、机关服务、案件审判、案件执行、“两庭”建设、事业运行这七项项目以外其他用于法院方面的支出。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八</w:t>
      </w:r>
      <w:r>
        <w:rPr>
          <w:rFonts w:hint="eastAsia" w:ascii="仿宋_GB2312" w:hAnsi="宋体" w:eastAsia="仿宋_GB2312" w:cs="宋体"/>
          <w:color w:val="000000"/>
          <w:kern w:val="0"/>
          <w:sz w:val="32"/>
          <w:szCs w:val="30"/>
        </w:rPr>
        <w:t>、社会保障和就业支出（类）行政事业单位养老支出（款）机关事业单位基本养老保险缴费支出（项）：指反映机关事业单位实施养老保险制度由单位缴纳的基本养老保险费支出。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九</w:t>
      </w:r>
      <w:r>
        <w:rPr>
          <w:rFonts w:hint="eastAsia" w:ascii="仿宋_GB2312" w:hAnsi="宋体" w:eastAsia="仿宋_GB2312" w:cs="宋体"/>
          <w:color w:val="000000"/>
          <w:kern w:val="0"/>
          <w:sz w:val="32"/>
          <w:szCs w:val="30"/>
        </w:rPr>
        <w:t>、社会保障和就业支出（类）抚恤（款）其他优抚支出（项）：指反映除死亡抚恤、伤残抚恤、在乡复员、退伍军人生活补助、优抚事业单位支出、义务兵优待及农村籍退役士兵老年生活补助这六项项目以外其他用于优抚方面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w:t>
      </w:r>
      <w:r>
        <w:rPr>
          <w:rFonts w:hint="eastAsia" w:ascii="仿宋_GB2312" w:hAnsi="宋体" w:eastAsia="仿宋_GB2312" w:cs="宋体"/>
          <w:color w:val="000000"/>
          <w:kern w:val="0"/>
          <w:sz w:val="32"/>
          <w:szCs w:val="30"/>
        </w:rPr>
        <w:t>、卫生健康支出（类）行政事业单位医疗（款）行政单位医疗（项）：指反映财政部门集中安排的行政单位基本养老保险缴费经费，未参加医疗保险的行政单位的公费医疗经费，按国家规定享受离休人员、红军老战士待遇人员的医疗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二十一</w:t>
      </w:r>
      <w:r>
        <w:rPr>
          <w:rFonts w:hint="eastAsia" w:ascii="仿宋_GB2312" w:hAnsi="宋体" w:eastAsia="仿宋_GB2312" w:cs="宋体"/>
          <w:color w:val="000000"/>
          <w:kern w:val="0"/>
          <w:sz w:val="32"/>
          <w:szCs w:val="30"/>
        </w:rPr>
        <w:t>、卫生健康支出（类）行政事业单位医疗（款）公务员医疗补助（项）：指反映财政部门集中安排的公务员医疗补助经费。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二十二</w:t>
      </w:r>
      <w:r>
        <w:rPr>
          <w:rFonts w:hint="eastAsia" w:ascii="仿宋_GB2312" w:hAnsi="宋体" w:eastAsia="仿宋_GB2312" w:cs="宋体"/>
          <w:color w:val="000000"/>
          <w:kern w:val="0"/>
          <w:sz w:val="32"/>
          <w:szCs w:val="30"/>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2747951">
    <w:nsid w:val="602094AF"/>
    <w:multiLevelType w:val="singleLevel"/>
    <w:tmpl w:val="602094AF"/>
    <w:lvl w:ilvl="0" w:tentative="1">
      <w:start w:val="3"/>
      <w:numFmt w:val="chineseCounting"/>
      <w:suff w:val="nothing"/>
      <w:lvlText w:val="（%1）"/>
      <w:lvlJc w:val="left"/>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6127479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paragraph" w:customStyle="1" w:styleId="6">
    <w:name w:val="正文1 Char Char Char"/>
    <w:basedOn w:val="1"/>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三亚市城郊人民法院</cp:lastModifiedBy>
  <dcterms:modified xsi:type="dcterms:W3CDTF">2021-02-18T08:04:31Z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