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7" w:line="218" w:lineRule="auto"/>
        <w:ind w:firstLine="2169" w:firstLineChars="500"/>
        <w:jc w:val="both"/>
        <w:outlineLvl w:val="0"/>
        <w:rPr>
          <w:rFonts w:ascii="宋体" w:hAnsi="宋体" w:eastAsia="宋体" w:cs="宋体"/>
          <w:color w:val="auto"/>
          <w:sz w:val="44"/>
          <w:szCs w:val="44"/>
        </w:rPr>
      </w:pPr>
      <w:bookmarkStart w:id="1" w:name="_GoBack"/>
      <w:r>
        <w:rPr>
          <w:rFonts w:hint="eastAsia" w:ascii="宋体" w:hAnsi="宋体" w:eastAsia="宋体" w:cs="宋体"/>
          <w:b/>
          <w:bCs/>
          <w:color w:val="auto"/>
          <w:spacing w:val="-4"/>
          <w:sz w:val="44"/>
          <w:szCs w:val="44"/>
        </w:rPr>
        <w:t>执法办案</w:t>
      </w:r>
      <w:r>
        <w:rPr>
          <w:rFonts w:hint="eastAsia" w:ascii="宋体" w:hAnsi="宋体" w:eastAsia="宋体" w:cs="宋体"/>
          <w:b/>
          <w:bCs/>
          <w:color w:val="auto"/>
          <w:spacing w:val="-4"/>
          <w:sz w:val="44"/>
          <w:szCs w:val="44"/>
          <w:lang w:val="en-US" w:eastAsia="zh-CN"/>
        </w:rPr>
        <w:t>业务</w:t>
      </w:r>
      <w:r>
        <w:rPr>
          <w:rFonts w:ascii="宋体" w:hAnsi="宋体" w:eastAsia="宋体" w:cs="宋体"/>
          <w:b/>
          <w:bCs/>
          <w:color w:val="auto"/>
          <w:spacing w:val="-4"/>
          <w:sz w:val="44"/>
          <w:szCs w:val="44"/>
        </w:rPr>
        <w:t>项目绩效评价报告</w:t>
      </w:r>
      <w:bookmarkEnd w:id="1"/>
    </w:p>
    <w:p>
      <w:pPr>
        <w:pStyle w:val="3"/>
        <w:spacing w:line="249" w:lineRule="auto"/>
        <w:jc w:val="both"/>
        <w:rPr>
          <w:color w:val="auto"/>
        </w:rPr>
      </w:pPr>
    </w:p>
    <w:p>
      <w:pPr>
        <w:spacing w:before="88" w:line="221" w:lineRule="auto"/>
        <w:rPr>
          <w:rFonts w:ascii="黑体" w:hAnsi="黑体" w:eastAsia="黑体" w:cs="黑体"/>
          <w:b/>
          <w:bCs/>
          <w:color w:val="auto"/>
          <w:spacing w:val="15"/>
          <w:sz w:val="27"/>
          <w:szCs w:val="27"/>
        </w:rPr>
      </w:pPr>
      <w:r>
        <w:rPr>
          <w:rFonts w:ascii="黑体" w:hAnsi="黑体" w:eastAsia="黑体" w:cs="黑体"/>
          <w:b/>
          <w:bCs/>
          <w:color w:val="auto"/>
          <w:spacing w:val="15"/>
          <w:sz w:val="27"/>
          <w:szCs w:val="27"/>
        </w:rPr>
        <w:t>绩效评价结果：</w:t>
      </w:r>
    </w:p>
    <w:tbl>
      <w:tblPr>
        <w:tblStyle w:val="11"/>
        <w:tblpPr w:leftFromText="180" w:rightFromText="180" w:vertAnchor="text" w:horzAnchor="page" w:tblpX="1049" w:tblpY="332"/>
        <w:tblOverlap w:val="never"/>
        <w:tblW w:w="9934" w:type="dxa"/>
        <w:tblInd w:w="0" w:type="dxa"/>
        <w:tblLayout w:type="fixed"/>
        <w:tblCellMar>
          <w:top w:w="0" w:type="dxa"/>
          <w:left w:w="85" w:type="dxa"/>
          <w:bottom w:w="0" w:type="dxa"/>
          <w:right w:w="85" w:type="dxa"/>
        </w:tblCellMar>
      </w:tblPr>
      <w:tblGrid>
        <w:gridCol w:w="2575"/>
        <w:gridCol w:w="1488"/>
        <w:gridCol w:w="1560"/>
        <w:gridCol w:w="1356"/>
        <w:gridCol w:w="1536"/>
        <w:gridCol w:w="1419"/>
      </w:tblGrid>
      <w:tr>
        <w:tblPrEx>
          <w:tblCellMar>
            <w:top w:w="0" w:type="dxa"/>
            <w:left w:w="85" w:type="dxa"/>
            <w:bottom w:w="0" w:type="dxa"/>
            <w:right w:w="85" w:type="dxa"/>
          </w:tblCellMar>
        </w:tblPrEx>
        <w:trPr>
          <w:trHeight w:val="444" w:hRule="atLeast"/>
        </w:trPr>
        <w:tc>
          <w:tcPr>
            <w:tcW w:w="993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before="124" w:beforeLines="40" w:after="124" w:afterLines="40"/>
              <w:rPr>
                <w:rFonts w:ascii="宋体" w:hAnsi="宋体" w:cs="宋体"/>
                <w:color w:val="auto"/>
                <w:kern w:val="0"/>
                <w:szCs w:val="21"/>
              </w:rPr>
            </w:pPr>
            <w:r>
              <w:rPr>
                <w:rFonts w:hint="eastAsia" w:ascii="宋体" w:hAnsi="宋体" w:cs="宋体"/>
                <w:b/>
                <w:bCs/>
                <w:color w:val="auto"/>
                <w:kern w:val="0"/>
                <w:szCs w:val="21"/>
              </w:rPr>
              <w:t>一、项目基本情况</w:t>
            </w:r>
          </w:p>
        </w:tc>
      </w:tr>
      <w:tr>
        <w:tblPrEx>
          <w:tblCellMar>
            <w:top w:w="0" w:type="dxa"/>
            <w:left w:w="85" w:type="dxa"/>
            <w:bottom w:w="0" w:type="dxa"/>
            <w:right w:w="85" w:type="dxa"/>
          </w:tblCellMar>
        </w:tblPrEx>
        <w:trPr>
          <w:trHeight w:val="738" w:hRule="atLeast"/>
        </w:trPr>
        <w:tc>
          <w:tcPr>
            <w:tcW w:w="2575" w:type="dxa"/>
            <w:tcBorders>
              <w:top w:val="single" w:color="000000" w:sz="4" w:space="0"/>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宋体" w:hAnsi="宋体" w:cs="宋体"/>
                <w:color w:val="auto"/>
                <w:kern w:val="0"/>
                <w:szCs w:val="21"/>
              </w:rPr>
            </w:pPr>
            <w:r>
              <w:rPr>
                <w:rFonts w:hint="eastAsia" w:ascii="宋体" w:hAnsi="宋体" w:cs="宋体"/>
                <w:color w:val="auto"/>
                <w:kern w:val="0"/>
                <w:szCs w:val="21"/>
              </w:rPr>
              <w:t>项目类型</w:t>
            </w:r>
          </w:p>
        </w:tc>
        <w:tc>
          <w:tcPr>
            <w:tcW w:w="7359" w:type="dxa"/>
            <w:gridSpan w:val="5"/>
            <w:tcBorders>
              <w:top w:val="single" w:color="000000" w:sz="4" w:space="0"/>
              <w:left w:val="nil"/>
              <w:bottom w:val="single" w:color="000000" w:sz="4" w:space="0"/>
              <w:right w:val="single" w:color="000000" w:sz="4" w:space="0"/>
            </w:tcBorders>
            <w:vAlign w:val="center"/>
          </w:tcPr>
          <w:p>
            <w:pPr>
              <w:widowControl/>
              <w:spacing w:before="124" w:beforeLines="40" w:after="124" w:afterLines="40"/>
              <w:jc w:val="center"/>
              <w:rPr>
                <w:rFonts w:ascii="宋体" w:hAnsi="宋体" w:cs="宋体"/>
                <w:color w:val="auto"/>
                <w:kern w:val="0"/>
                <w:szCs w:val="21"/>
              </w:rPr>
            </w:pPr>
            <w:r>
              <w:rPr>
                <w:rFonts w:hint="eastAsia" w:ascii="宋体" w:hAnsi="宋体" w:cs="宋体"/>
                <w:color w:val="auto"/>
                <w:kern w:val="0"/>
                <w:szCs w:val="21"/>
              </w:rPr>
              <w:t xml:space="preserve">经常性项目（ </w:t>
            </w:r>
            <w:r>
              <w:rPr>
                <w:rFonts w:hint="eastAsia" w:ascii="宋体" w:hAnsi="宋体"/>
                <w:color w:val="auto"/>
                <w:sz w:val="24"/>
              </w:rPr>
              <w:t>√</w:t>
            </w:r>
            <w:r>
              <w:rPr>
                <w:rFonts w:hint="eastAsia" w:ascii="宋体" w:hAnsi="宋体" w:cs="宋体"/>
                <w:color w:val="auto"/>
                <w:kern w:val="0"/>
                <w:szCs w:val="21"/>
              </w:rPr>
              <w:t xml:space="preserve"> ）       一次性项目（  ）</w:t>
            </w:r>
          </w:p>
        </w:tc>
      </w:tr>
      <w:tr>
        <w:tblPrEx>
          <w:tblCellMar>
            <w:top w:w="0" w:type="dxa"/>
            <w:left w:w="85" w:type="dxa"/>
            <w:bottom w:w="0" w:type="dxa"/>
            <w:right w:w="85" w:type="dxa"/>
          </w:tblCellMar>
        </w:tblPrEx>
        <w:trPr>
          <w:trHeight w:val="1026" w:hRule="atLeast"/>
        </w:trPr>
        <w:tc>
          <w:tcPr>
            <w:tcW w:w="2575" w:type="dxa"/>
            <w:tcBorders>
              <w:top w:val="single" w:color="000000" w:sz="4" w:space="0"/>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宋体" w:hAnsi="宋体" w:cs="宋体"/>
                <w:color w:val="auto"/>
                <w:kern w:val="0"/>
                <w:szCs w:val="21"/>
              </w:rPr>
            </w:pPr>
            <w:r>
              <w:rPr>
                <w:rFonts w:hint="eastAsia" w:ascii="宋体" w:hAnsi="宋体" w:cs="宋体"/>
                <w:color w:val="auto"/>
                <w:kern w:val="0"/>
                <w:szCs w:val="21"/>
              </w:rPr>
              <w:t>计划投资额</w:t>
            </w:r>
          </w:p>
          <w:p>
            <w:pPr>
              <w:widowControl/>
              <w:spacing w:before="124" w:beforeLines="40" w:after="124" w:afterLines="40"/>
              <w:jc w:val="center"/>
              <w:rPr>
                <w:rFonts w:ascii="宋体" w:hAnsi="宋体" w:cs="宋体"/>
                <w:color w:val="auto"/>
                <w:kern w:val="0"/>
                <w:szCs w:val="21"/>
              </w:rPr>
            </w:pPr>
            <w:r>
              <w:rPr>
                <w:rFonts w:hint="eastAsia" w:ascii="宋体" w:hAnsi="宋体" w:cs="宋体"/>
                <w:color w:val="auto"/>
                <w:kern w:val="0"/>
                <w:szCs w:val="21"/>
              </w:rPr>
              <w:t>（万元）</w:t>
            </w:r>
          </w:p>
        </w:tc>
        <w:tc>
          <w:tcPr>
            <w:tcW w:w="1488" w:type="dxa"/>
            <w:tcBorders>
              <w:top w:val="single" w:color="000000" w:sz="4" w:space="0"/>
              <w:left w:val="nil"/>
              <w:bottom w:val="single" w:color="000000" w:sz="4" w:space="0"/>
              <w:right w:val="single" w:color="000000" w:sz="4" w:space="0"/>
            </w:tcBorders>
            <w:vAlign w:val="center"/>
          </w:tcPr>
          <w:p>
            <w:pPr>
              <w:widowControl/>
              <w:spacing w:before="124" w:beforeLines="40" w:after="124" w:afterLines="40"/>
              <w:jc w:val="center"/>
              <w:rPr>
                <w:rFonts w:ascii="宋体" w:hAnsi="宋体"/>
                <w:color w:val="auto"/>
              </w:rPr>
            </w:pPr>
            <w:r>
              <w:rPr>
                <w:rFonts w:hint="eastAsia" w:ascii="宋体" w:hAnsi="宋体"/>
                <w:color w:val="auto"/>
              </w:rPr>
              <w:t>1,365.56</w:t>
            </w:r>
          </w:p>
        </w:tc>
        <w:tc>
          <w:tcPr>
            <w:tcW w:w="1560" w:type="dxa"/>
            <w:tcBorders>
              <w:top w:val="single" w:color="000000" w:sz="4" w:space="0"/>
              <w:left w:val="nil"/>
              <w:bottom w:val="single" w:color="000000" w:sz="4" w:space="0"/>
              <w:right w:val="single" w:color="000000" w:sz="4" w:space="0"/>
            </w:tcBorders>
            <w:vAlign w:val="center"/>
          </w:tcPr>
          <w:p>
            <w:pPr>
              <w:widowControl/>
              <w:spacing w:before="124" w:beforeLines="40" w:after="124" w:afterLines="40"/>
              <w:jc w:val="center"/>
              <w:rPr>
                <w:rFonts w:ascii="宋体" w:hAnsi="宋体" w:cs="宋体"/>
                <w:color w:val="auto"/>
                <w:kern w:val="0"/>
                <w:szCs w:val="21"/>
              </w:rPr>
            </w:pPr>
            <w:r>
              <w:rPr>
                <w:rFonts w:hint="eastAsia" w:ascii="宋体" w:hAnsi="宋体" w:cs="宋体"/>
                <w:color w:val="auto"/>
                <w:kern w:val="0"/>
                <w:szCs w:val="21"/>
              </w:rPr>
              <w:t>实际到位资金（万元）</w:t>
            </w:r>
          </w:p>
        </w:tc>
        <w:tc>
          <w:tcPr>
            <w:tcW w:w="1356" w:type="dxa"/>
            <w:tcBorders>
              <w:top w:val="single" w:color="000000" w:sz="4" w:space="0"/>
              <w:left w:val="nil"/>
              <w:bottom w:val="single" w:color="000000" w:sz="4" w:space="0"/>
              <w:right w:val="single" w:color="000000" w:sz="4" w:space="0"/>
            </w:tcBorders>
            <w:vAlign w:val="center"/>
          </w:tcPr>
          <w:p>
            <w:pPr>
              <w:widowControl/>
              <w:spacing w:before="124" w:beforeLines="40" w:after="124" w:afterLines="40"/>
              <w:jc w:val="center"/>
              <w:rPr>
                <w:rFonts w:ascii="宋体" w:hAnsi="宋体"/>
                <w:color w:val="auto"/>
              </w:rPr>
            </w:pPr>
            <w:r>
              <w:rPr>
                <w:rFonts w:hint="eastAsia" w:ascii="宋体" w:hAnsi="宋体"/>
                <w:color w:val="auto"/>
              </w:rPr>
              <w:t>1,365.56</w:t>
            </w:r>
          </w:p>
        </w:tc>
        <w:tc>
          <w:tcPr>
            <w:tcW w:w="1536" w:type="dxa"/>
            <w:tcBorders>
              <w:top w:val="single" w:color="000000" w:sz="4" w:space="0"/>
              <w:left w:val="nil"/>
              <w:bottom w:val="single" w:color="000000" w:sz="4" w:space="0"/>
              <w:right w:val="single" w:color="000000" w:sz="4" w:space="0"/>
            </w:tcBorders>
            <w:vAlign w:val="center"/>
          </w:tcPr>
          <w:p>
            <w:pPr>
              <w:widowControl/>
              <w:spacing w:before="124" w:beforeLines="40" w:after="124" w:afterLines="40"/>
              <w:jc w:val="center"/>
              <w:rPr>
                <w:rFonts w:ascii="宋体" w:hAnsi="宋体" w:cs="宋体"/>
                <w:color w:val="auto"/>
                <w:kern w:val="0"/>
                <w:szCs w:val="21"/>
              </w:rPr>
            </w:pPr>
            <w:r>
              <w:rPr>
                <w:rFonts w:hint="eastAsia" w:ascii="宋体" w:hAnsi="宋体" w:cs="宋体"/>
                <w:color w:val="auto"/>
                <w:kern w:val="0"/>
                <w:szCs w:val="21"/>
              </w:rPr>
              <w:t>实际使用情况（万元）</w:t>
            </w:r>
          </w:p>
        </w:tc>
        <w:tc>
          <w:tcPr>
            <w:tcW w:w="1419" w:type="dxa"/>
            <w:tcBorders>
              <w:top w:val="single" w:color="000000" w:sz="4" w:space="0"/>
              <w:left w:val="nil"/>
              <w:bottom w:val="single" w:color="000000" w:sz="4" w:space="0"/>
              <w:right w:val="single" w:color="000000" w:sz="4" w:space="0"/>
            </w:tcBorders>
            <w:vAlign w:val="center"/>
          </w:tcPr>
          <w:p>
            <w:pPr>
              <w:widowControl/>
              <w:spacing w:before="124" w:beforeLines="40" w:after="124" w:afterLines="40"/>
              <w:jc w:val="center"/>
              <w:rPr>
                <w:rFonts w:ascii="宋体" w:hAnsi="宋体" w:cs="宋体"/>
                <w:color w:val="auto"/>
                <w:kern w:val="0"/>
                <w:szCs w:val="21"/>
              </w:rPr>
            </w:pPr>
            <w:r>
              <w:rPr>
                <w:rFonts w:hint="eastAsia" w:ascii="宋体" w:hAnsi="宋体" w:cs="宋体"/>
                <w:color w:val="auto"/>
                <w:kern w:val="0"/>
                <w:szCs w:val="21"/>
              </w:rPr>
              <w:t>1,360.03</w:t>
            </w:r>
          </w:p>
        </w:tc>
      </w:tr>
      <w:tr>
        <w:tblPrEx>
          <w:tblCellMar>
            <w:top w:w="0" w:type="dxa"/>
            <w:left w:w="85" w:type="dxa"/>
            <w:bottom w:w="0" w:type="dxa"/>
            <w:right w:w="85" w:type="dxa"/>
          </w:tblCellMar>
        </w:tblPrEx>
        <w:trPr>
          <w:trHeight w:val="653" w:hRule="atLeast"/>
        </w:trPr>
        <w:tc>
          <w:tcPr>
            <w:tcW w:w="9934" w:type="dxa"/>
            <w:gridSpan w:val="6"/>
            <w:tcBorders>
              <w:top w:val="single" w:color="000000" w:sz="4" w:space="0"/>
              <w:left w:val="single" w:color="000000" w:sz="4" w:space="0"/>
              <w:bottom w:val="single" w:color="000000" w:sz="4" w:space="0"/>
              <w:right w:val="single" w:color="000000" w:sz="4" w:space="0"/>
            </w:tcBorders>
            <w:vAlign w:val="center"/>
          </w:tcPr>
          <w:p>
            <w:pPr>
              <w:widowControl/>
              <w:spacing w:before="124" w:beforeLines="40" w:after="124" w:afterLines="40"/>
              <w:rPr>
                <w:rFonts w:ascii="宋体" w:hAnsi="宋体" w:cs="宋体"/>
                <w:color w:val="auto"/>
                <w:kern w:val="0"/>
                <w:szCs w:val="21"/>
              </w:rPr>
            </w:pPr>
            <w:r>
              <w:rPr>
                <w:rFonts w:hint="eastAsia" w:ascii="宋体" w:hAnsi="宋体" w:cs="宋体"/>
                <w:b/>
                <w:bCs/>
                <w:color w:val="auto"/>
                <w:kern w:val="0"/>
                <w:szCs w:val="21"/>
              </w:rPr>
              <w:t>二、绩效评价指标评分</w:t>
            </w:r>
          </w:p>
        </w:tc>
      </w:tr>
    </w:tbl>
    <w:tbl>
      <w:tblPr>
        <w:tblStyle w:val="22"/>
        <w:tblW w:w="9907"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2"/>
        <w:gridCol w:w="1398"/>
        <w:gridCol w:w="2138"/>
        <w:gridCol w:w="1079"/>
        <w:gridCol w:w="2108"/>
        <w:gridCol w:w="509"/>
        <w:gridCol w:w="1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152" w:type="dxa"/>
            <w:vAlign w:val="top"/>
          </w:tcPr>
          <w:p>
            <w:pPr>
              <w:spacing w:before="275" w:line="220" w:lineRule="auto"/>
              <w:ind w:left="44"/>
              <w:rPr>
                <w:rFonts w:ascii="宋体" w:hAnsi="宋体" w:eastAsia="宋体" w:cs="宋体"/>
                <w:color w:val="auto"/>
                <w:sz w:val="24"/>
                <w:szCs w:val="24"/>
              </w:rPr>
            </w:pPr>
            <w:r>
              <w:rPr>
                <w:rFonts w:ascii="宋体" w:hAnsi="宋体" w:eastAsia="宋体" w:cs="宋体"/>
                <w:color w:val="auto"/>
                <w:spacing w:val="2"/>
                <w:sz w:val="24"/>
                <w:szCs w:val="24"/>
              </w:rPr>
              <w:t>一级指标</w:t>
            </w:r>
          </w:p>
        </w:tc>
        <w:tc>
          <w:tcPr>
            <w:tcW w:w="1398" w:type="dxa"/>
            <w:vAlign w:val="top"/>
          </w:tcPr>
          <w:p>
            <w:pPr>
              <w:spacing w:before="274" w:line="219" w:lineRule="auto"/>
              <w:ind w:left="450"/>
              <w:rPr>
                <w:rFonts w:ascii="宋体" w:hAnsi="宋体" w:eastAsia="宋体" w:cs="宋体"/>
                <w:color w:val="auto"/>
                <w:sz w:val="24"/>
                <w:szCs w:val="24"/>
              </w:rPr>
            </w:pPr>
            <w:r>
              <w:rPr>
                <w:rFonts w:ascii="宋体" w:hAnsi="宋体" w:eastAsia="宋体" w:cs="宋体"/>
                <w:color w:val="auto"/>
                <w:spacing w:val="4"/>
                <w:sz w:val="24"/>
                <w:szCs w:val="24"/>
              </w:rPr>
              <w:t>分值</w:t>
            </w:r>
          </w:p>
        </w:tc>
        <w:tc>
          <w:tcPr>
            <w:tcW w:w="2138" w:type="dxa"/>
            <w:vAlign w:val="top"/>
          </w:tcPr>
          <w:p>
            <w:pPr>
              <w:spacing w:before="275" w:line="220" w:lineRule="auto"/>
              <w:ind w:left="582"/>
              <w:rPr>
                <w:rFonts w:ascii="宋体" w:hAnsi="宋体" w:eastAsia="宋体" w:cs="宋体"/>
                <w:color w:val="auto"/>
                <w:sz w:val="24"/>
                <w:szCs w:val="24"/>
              </w:rPr>
            </w:pPr>
            <w:r>
              <w:rPr>
                <w:rFonts w:ascii="宋体" w:hAnsi="宋体" w:eastAsia="宋体" w:cs="宋体"/>
                <w:color w:val="auto"/>
                <w:spacing w:val="2"/>
                <w:sz w:val="24"/>
                <w:szCs w:val="24"/>
              </w:rPr>
              <w:t>二级指标</w:t>
            </w:r>
          </w:p>
        </w:tc>
        <w:tc>
          <w:tcPr>
            <w:tcW w:w="1079" w:type="dxa"/>
            <w:vAlign w:val="top"/>
          </w:tcPr>
          <w:p>
            <w:pPr>
              <w:spacing w:before="274" w:line="219" w:lineRule="auto"/>
              <w:ind w:left="295"/>
              <w:rPr>
                <w:rFonts w:ascii="宋体" w:hAnsi="宋体" w:eastAsia="宋体" w:cs="宋体"/>
                <w:color w:val="auto"/>
                <w:sz w:val="24"/>
                <w:szCs w:val="24"/>
              </w:rPr>
            </w:pPr>
            <w:r>
              <w:rPr>
                <w:rFonts w:ascii="宋体" w:hAnsi="宋体" w:eastAsia="宋体" w:cs="宋体"/>
                <w:color w:val="auto"/>
                <w:spacing w:val="4"/>
                <w:sz w:val="24"/>
                <w:szCs w:val="24"/>
              </w:rPr>
              <w:t>分值</w:t>
            </w:r>
          </w:p>
        </w:tc>
        <w:tc>
          <w:tcPr>
            <w:tcW w:w="2108" w:type="dxa"/>
            <w:vAlign w:val="top"/>
          </w:tcPr>
          <w:p>
            <w:pPr>
              <w:spacing w:before="275" w:line="220" w:lineRule="auto"/>
              <w:ind w:left="565"/>
              <w:rPr>
                <w:rFonts w:ascii="宋体" w:hAnsi="宋体" w:eastAsia="宋体" w:cs="宋体"/>
                <w:color w:val="auto"/>
                <w:sz w:val="24"/>
                <w:szCs w:val="24"/>
              </w:rPr>
            </w:pPr>
            <w:r>
              <w:rPr>
                <w:rFonts w:ascii="宋体" w:hAnsi="宋体" w:eastAsia="宋体" w:cs="宋体"/>
                <w:color w:val="auto"/>
                <w:spacing w:val="-2"/>
                <w:sz w:val="24"/>
                <w:szCs w:val="24"/>
              </w:rPr>
              <w:t>三级指标</w:t>
            </w:r>
          </w:p>
        </w:tc>
        <w:tc>
          <w:tcPr>
            <w:tcW w:w="509" w:type="dxa"/>
            <w:vAlign w:val="top"/>
          </w:tcPr>
          <w:p>
            <w:pPr>
              <w:spacing w:before="274" w:line="219" w:lineRule="auto"/>
              <w:ind w:left="7"/>
              <w:rPr>
                <w:rFonts w:ascii="宋体" w:hAnsi="宋体" w:eastAsia="宋体" w:cs="宋体"/>
                <w:color w:val="auto"/>
                <w:sz w:val="24"/>
                <w:szCs w:val="24"/>
              </w:rPr>
            </w:pPr>
            <w:r>
              <w:rPr>
                <w:rFonts w:ascii="宋体" w:hAnsi="宋体" w:eastAsia="宋体" w:cs="宋体"/>
                <w:color w:val="auto"/>
                <w:spacing w:val="4"/>
                <w:sz w:val="24"/>
                <w:szCs w:val="24"/>
              </w:rPr>
              <w:t>分值</w:t>
            </w:r>
          </w:p>
        </w:tc>
        <w:tc>
          <w:tcPr>
            <w:tcW w:w="1523" w:type="dxa"/>
            <w:vAlign w:val="top"/>
          </w:tcPr>
          <w:p>
            <w:pPr>
              <w:spacing w:before="274" w:line="219" w:lineRule="auto"/>
              <w:ind w:left="519"/>
              <w:rPr>
                <w:rFonts w:ascii="宋体" w:hAnsi="宋体" w:eastAsia="宋体" w:cs="宋体"/>
                <w:color w:val="auto"/>
                <w:sz w:val="24"/>
                <w:szCs w:val="24"/>
              </w:rPr>
            </w:pPr>
            <w:r>
              <w:rPr>
                <w:rFonts w:ascii="宋体" w:hAnsi="宋体" w:eastAsia="宋体" w:cs="宋体"/>
                <w:color w:val="auto"/>
                <w:spacing w:val="5"/>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52" w:type="dxa"/>
            <w:vMerge w:val="restart"/>
            <w:tcBorders>
              <w:bottom w:val="nil"/>
            </w:tcBorders>
            <w:vAlign w:val="top"/>
          </w:tcPr>
          <w:p>
            <w:pPr>
              <w:pStyle w:val="23"/>
              <w:spacing w:line="253" w:lineRule="auto"/>
              <w:rPr>
                <w:color w:val="auto"/>
              </w:rPr>
            </w:pPr>
          </w:p>
          <w:p>
            <w:pPr>
              <w:pStyle w:val="23"/>
              <w:spacing w:line="253" w:lineRule="auto"/>
              <w:rPr>
                <w:color w:val="auto"/>
              </w:rPr>
            </w:pPr>
          </w:p>
          <w:p>
            <w:pPr>
              <w:pStyle w:val="23"/>
              <w:spacing w:line="253" w:lineRule="auto"/>
              <w:rPr>
                <w:color w:val="auto"/>
              </w:rPr>
            </w:pPr>
          </w:p>
          <w:p>
            <w:pPr>
              <w:pStyle w:val="23"/>
              <w:spacing w:line="253" w:lineRule="auto"/>
              <w:rPr>
                <w:color w:val="auto"/>
              </w:rPr>
            </w:pPr>
          </w:p>
          <w:p>
            <w:pPr>
              <w:pStyle w:val="23"/>
              <w:spacing w:line="253" w:lineRule="auto"/>
              <w:rPr>
                <w:color w:val="auto"/>
              </w:rPr>
            </w:pPr>
          </w:p>
          <w:p>
            <w:pPr>
              <w:spacing w:before="78" w:line="219" w:lineRule="auto"/>
              <w:ind w:left="44"/>
              <w:rPr>
                <w:rFonts w:ascii="宋体" w:hAnsi="宋体" w:eastAsia="宋体" w:cs="宋体"/>
                <w:color w:val="auto"/>
                <w:sz w:val="24"/>
                <w:szCs w:val="24"/>
              </w:rPr>
            </w:pPr>
            <w:r>
              <w:rPr>
                <w:rFonts w:ascii="宋体" w:hAnsi="宋体" w:eastAsia="宋体" w:cs="宋体"/>
                <w:color w:val="auto"/>
                <w:spacing w:val="2"/>
                <w:sz w:val="24"/>
                <w:szCs w:val="24"/>
              </w:rPr>
              <w:t>项目决策</w:t>
            </w:r>
          </w:p>
        </w:tc>
        <w:tc>
          <w:tcPr>
            <w:tcW w:w="1398" w:type="dxa"/>
            <w:vMerge w:val="restart"/>
            <w:tcBorders>
              <w:bottom w:val="nil"/>
            </w:tcBorders>
            <w:vAlign w:val="top"/>
          </w:tcPr>
          <w:p>
            <w:pPr>
              <w:pStyle w:val="23"/>
              <w:spacing w:line="257" w:lineRule="auto"/>
              <w:rPr>
                <w:color w:val="auto"/>
              </w:rPr>
            </w:pPr>
          </w:p>
          <w:p>
            <w:pPr>
              <w:pStyle w:val="23"/>
              <w:spacing w:line="257" w:lineRule="auto"/>
              <w:rPr>
                <w:color w:val="auto"/>
              </w:rPr>
            </w:pPr>
          </w:p>
          <w:p>
            <w:pPr>
              <w:pStyle w:val="23"/>
              <w:spacing w:line="258" w:lineRule="auto"/>
              <w:rPr>
                <w:color w:val="auto"/>
              </w:rPr>
            </w:pPr>
          </w:p>
          <w:p>
            <w:pPr>
              <w:pStyle w:val="23"/>
              <w:spacing w:line="258" w:lineRule="auto"/>
              <w:rPr>
                <w:color w:val="auto"/>
              </w:rPr>
            </w:pPr>
          </w:p>
          <w:p>
            <w:pPr>
              <w:pStyle w:val="23"/>
              <w:spacing w:line="258" w:lineRule="auto"/>
              <w:rPr>
                <w:color w:val="auto"/>
              </w:rPr>
            </w:pPr>
          </w:p>
          <w:p>
            <w:pPr>
              <w:spacing w:before="78"/>
              <w:ind w:left="571"/>
              <w:rPr>
                <w:rFonts w:hint="default" w:ascii="宋体" w:hAnsi="宋体" w:eastAsia="宋体" w:cs="宋体"/>
                <w:color w:val="auto"/>
                <w:sz w:val="24"/>
                <w:szCs w:val="24"/>
                <w:lang w:val="en-US" w:eastAsia="zh-CN"/>
              </w:rPr>
            </w:pPr>
            <w:r>
              <w:rPr>
                <w:rFonts w:hint="eastAsia" w:ascii="宋体" w:hAnsi="宋体" w:eastAsia="宋体" w:cs="宋体"/>
                <w:color w:val="auto"/>
                <w:spacing w:val="-4"/>
                <w:sz w:val="24"/>
                <w:szCs w:val="24"/>
                <w:lang w:val="en-US" w:eastAsia="zh-CN"/>
              </w:rPr>
              <w:t>12</w:t>
            </w:r>
          </w:p>
        </w:tc>
        <w:tc>
          <w:tcPr>
            <w:tcW w:w="2138" w:type="dxa"/>
            <w:vMerge w:val="restart"/>
            <w:tcBorders>
              <w:bottom w:val="nil"/>
            </w:tcBorders>
            <w:vAlign w:val="top"/>
          </w:tcPr>
          <w:p>
            <w:pPr>
              <w:pStyle w:val="23"/>
              <w:spacing w:line="281" w:lineRule="auto"/>
              <w:rPr>
                <w:color w:val="auto"/>
              </w:rPr>
            </w:pPr>
          </w:p>
          <w:p>
            <w:pPr>
              <w:spacing w:before="78" w:line="220" w:lineRule="auto"/>
              <w:ind w:left="582"/>
              <w:rPr>
                <w:rFonts w:ascii="宋体" w:hAnsi="宋体" w:eastAsia="宋体" w:cs="宋体"/>
                <w:color w:val="auto"/>
                <w:sz w:val="24"/>
                <w:szCs w:val="24"/>
              </w:rPr>
            </w:pPr>
            <w:r>
              <w:rPr>
                <w:rFonts w:ascii="宋体" w:hAnsi="宋体" w:eastAsia="宋体" w:cs="宋体"/>
                <w:color w:val="auto"/>
                <w:spacing w:val="3"/>
                <w:sz w:val="24"/>
                <w:szCs w:val="24"/>
              </w:rPr>
              <w:t>项目立项</w:t>
            </w:r>
          </w:p>
        </w:tc>
        <w:tc>
          <w:tcPr>
            <w:tcW w:w="1079" w:type="dxa"/>
            <w:vMerge w:val="restart"/>
            <w:tcBorders>
              <w:bottom w:val="nil"/>
            </w:tcBorders>
            <w:vAlign w:val="top"/>
          </w:tcPr>
          <w:p>
            <w:pPr>
              <w:pStyle w:val="23"/>
              <w:spacing w:line="304" w:lineRule="auto"/>
              <w:rPr>
                <w:color w:val="auto"/>
              </w:rPr>
            </w:pPr>
          </w:p>
          <w:p>
            <w:pPr>
              <w:spacing w:before="78" w:line="241" w:lineRule="auto"/>
              <w:ind w:left="474"/>
              <w:rPr>
                <w:rFonts w:ascii="宋体" w:hAnsi="宋体" w:eastAsia="宋体" w:cs="宋体"/>
                <w:color w:val="auto"/>
                <w:sz w:val="24"/>
                <w:szCs w:val="24"/>
              </w:rPr>
            </w:pPr>
            <w:r>
              <w:rPr>
                <w:rFonts w:ascii="宋体" w:hAnsi="宋体" w:eastAsia="宋体" w:cs="宋体"/>
                <w:color w:val="auto"/>
                <w:sz w:val="24"/>
                <w:szCs w:val="24"/>
              </w:rPr>
              <w:t>4</w:t>
            </w:r>
          </w:p>
        </w:tc>
        <w:tc>
          <w:tcPr>
            <w:tcW w:w="2108" w:type="dxa"/>
            <w:vAlign w:val="top"/>
          </w:tcPr>
          <w:p>
            <w:pPr>
              <w:spacing w:before="139" w:line="219" w:lineRule="auto"/>
              <w:ind w:left="206"/>
              <w:rPr>
                <w:rFonts w:ascii="宋体" w:hAnsi="宋体" w:eastAsia="宋体" w:cs="宋体"/>
                <w:color w:val="auto"/>
                <w:sz w:val="24"/>
                <w:szCs w:val="24"/>
              </w:rPr>
            </w:pPr>
            <w:r>
              <w:rPr>
                <w:rFonts w:ascii="宋体" w:hAnsi="宋体" w:eastAsia="宋体" w:cs="宋体"/>
                <w:color w:val="auto"/>
                <w:spacing w:val="-2"/>
                <w:sz w:val="24"/>
                <w:szCs w:val="24"/>
              </w:rPr>
              <w:t>立项依据充分性</w:t>
            </w:r>
          </w:p>
        </w:tc>
        <w:tc>
          <w:tcPr>
            <w:tcW w:w="509" w:type="dxa"/>
            <w:vAlign w:val="top"/>
          </w:tcPr>
          <w:p>
            <w:pPr>
              <w:spacing w:before="164" w:line="241" w:lineRule="auto"/>
              <w:ind w:left="188"/>
              <w:rPr>
                <w:rFonts w:ascii="宋体" w:hAnsi="宋体" w:eastAsia="宋体" w:cs="宋体"/>
                <w:color w:val="auto"/>
                <w:sz w:val="24"/>
                <w:szCs w:val="24"/>
              </w:rPr>
            </w:pPr>
            <w:r>
              <w:rPr>
                <w:rFonts w:ascii="宋体" w:hAnsi="宋体" w:eastAsia="宋体" w:cs="宋体"/>
                <w:color w:val="auto"/>
                <w:sz w:val="24"/>
                <w:szCs w:val="24"/>
              </w:rPr>
              <w:t>2</w:t>
            </w:r>
          </w:p>
        </w:tc>
        <w:tc>
          <w:tcPr>
            <w:tcW w:w="1523" w:type="dxa"/>
            <w:vAlign w:val="top"/>
          </w:tcPr>
          <w:p>
            <w:pPr>
              <w:spacing w:before="164" w:line="241" w:lineRule="auto"/>
              <w:ind w:left="698"/>
              <w:rPr>
                <w:rFonts w:ascii="宋体" w:hAnsi="宋体" w:eastAsia="宋体" w:cs="宋体"/>
                <w:color w:val="auto"/>
                <w:sz w:val="24"/>
                <w:szCs w:val="24"/>
              </w:rPr>
            </w:pPr>
            <w:r>
              <w:rPr>
                <w:rFonts w:ascii="宋体" w:hAnsi="宋体" w:eastAsia="宋体" w:cs="宋体"/>
                <w:color w:val="auto"/>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Merge w:val="continue"/>
            <w:tcBorders>
              <w:top w:val="nil"/>
            </w:tcBorders>
            <w:vAlign w:val="top"/>
          </w:tcPr>
          <w:p>
            <w:pPr>
              <w:pStyle w:val="23"/>
              <w:rPr>
                <w:color w:val="auto"/>
              </w:rPr>
            </w:pPr>
          </w:p>
        </w:tc>
        <w:tc>
          <w:tcPr>
            <w:tcW w:w="1079" w:type="dxa"/>
            <w:vMerge w:val="continue"/>
            <w:tcBorders>
              <w:top w:val="nil"/>
            </w:tcBorders>
            <w:vAlign w:val="top"/>
          </w:tcPr>
          <w:p>
            <w:pPr>
              <w:pStyle w:val="23"/>
              <w:rPr>
                <w:color w:val="auto"/>
              </w:rPr>
            </w:pPr>
          </w:p>
        </w:tc>
        <w:tc>
          <w:tcPr>
            <w:tcW w:w="2108" w:type="dxa"/>
            <w:vAlign w:val="top"/>
          </w:tcPr>
          <w:p>
            <w:pPr>
              <w:spacing w:before="101" w:line="220" w:lineRule="auto"/>
              <w:ind w:left="206"/>
              <w:rPr>
                <w:rFonts w:ascii="宋体" w:hAnsi="宋体" w:eastAsia="宋体" w:cs="宋体"/>
                <w:color w:val="auto"/>
                <w:sz w:val="24"/>
                <w:szCs w:val="24"/>
              </w:rPr>
            </w:pPr>
            <w:r>
              <w:rPr>
                <w:rFonts w:ascii="宋体" w:hAnsi="宋体" w:eastAsia="宋体" w:cs="宋体"/>
                <w:color w:val="auto"/>
                <w:spacing w:val="-2"/>
                <w:sz w:val="24"/>
                <w:szCs w:val="24"/>
              </w:rPr>
              <w:t>立项程序规范性</w:t>
            </w:r>
          </w:p>
        </w:tc>
        <w:tc>
          <w:tcPr>
            <w:tcW w:w="509" w:type="dxa"/>
            <w:vAlign w:val="top"/>
          </w:tcPr>
          <w:p>
            <w:pPr>
              <w:spacing w:before="124" w:line="235" w:lineRule="auto"/>
              <w:ind w:left="188"/>
              <w:rPr>
                <w:rFonts w:ascii="宋体" w:hAnsi="宋体" w:eastAsia="宋体" w:cs="宋体"/>
                <w:color w:val="auto"/>
                <w:sz w:val="24"/>
                <w:szCs w:val="24"/>
              </w:rPr>
            </w:pPr>
            <w:r>
              <w:rPr>
                <w:rFonts w:ascii="宋体" w:hAnsi="宋体" w:eastAsia="宋体" w:cs="宋体"/>
                <w:color w:val="auto"/>
                <w:sz w:val="24"/>
                <w:szCs w:val="24"/>
              </w:rPr>
              <w:t>2</w:t>
            </w:r>
          </w:p>
        </w:tc>
        <w:tc>
          <w:tcPr>
            <w:tcW w:w="1523" w:type="dxa"/>
            <w:vAlign w:val="top"/>
          </w:tcPr>
          <w:p>
            <w:pPr>
              <w:spacing w:before="124" w:line="235" w:lineRule="auto"/>
              <w:ind w:left="698"/>
              <w:rPr>
                <w:rFonts w:ascii="宋体" w:hAnsi="宋体" w:eastAsia="宋体" w:cs="宋体"/>
                <w:color w:val="auto"/>
                <w:sz w:val="24"/>
                <w:szCs w:val="24"/>
              </w:rPr>
            </w:pPr>
            <w:r>
              <w:rPr>
                <w:rFonts w:ascii="宋体" w:hAnsi="宋体" w:eastAsia="宋体" w:cs="宋体"/>
                <w:color w:val="auto"/>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Merge w:val="restart"/>
            <w:tcBorders>
              <w:bottom w:val="nil"/>
            </w:tcBorders>
            <w:vAlign w:val="top"/>
          </w:tcPr>
          <w:p>
            <w:pPr>
              <w:pStyle w:val="23"/>
              <w:spacing w:line="261" w:lineRule="auto"/>
              <w:rPr>
                <w:color w:val="auto"/>
              </w:rPr>
            </w:pPr>
          </w:p>
          <w:p>
            <w:pPr>
              <w:spacing w:before="78" w:line="220" w:lineRule="auto"/>
              <w:ind w:left="582"/>
              <w:rPr>
                <w:rFonts w:ascii="宋体" w:hAnsi="宋体" w:eastAsia="宋体" w:cs="宋体"/>
                <w:color w:val="auto"/>
                <w:sz w:val="24"/>
                <w:szCs w:val="24"/>
              </w:rPr>
            </w:pPr>
            <w:r>
              <w:rPr>
                <w:rFonts w:ascii="宋体" w:hAnsi="宋体" w:eastAsia="宋体" w:cs="宋体"/>
                <w:color w:val="auto"/>
                <w:spacing w:val="2"/>
                <w:sz w:val="24"/>
                <w:szCs w:val="24"/>
              </w:rPr>
              <w:t>绩效目标</w:t>
            </w:r>
          </w:p>
        </w:tc>
        <w:tc>
          <w:tcPr>
            <w:tcW w:w="1079" w:type="dxa"/>
            <w:vMerge w:val="restart"/>
            <w:tcBorders>
              <w:bottom w:val="nil"/>
            </w:tcBorders>
            <w:vAlign w:val="top"/>
          </w:tcPr>
          <w:p>
            <w:pPr>
              <w:pStyle w:val="23"/>
              <w:spacing w:line="284" w:lineRule="auto"/>
              <w:rPr>
                <w:color w:val="auto"/>
              </w:rPr>
            </w:pPr>
          </w:p>
          <w:p>
            <w:pPr>
              <w:spacing w:before="78"/>
              <w:ind w:left="474"/>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2108" w:type="dxa"/>
            <w:vAlign w:val="top"/>
          </w:tcPr>
          <w:p>
            <w:pPr>
              <w:spacing w:before="121" w:line="220" w:lineRule="auto"/>
              <w:ind w:left="206"/>
              <w:rPr>
                <w:rFonts w:ascii="宋体" w:hAnsi="宋体" w:eastAsia="宋体" w:cs="宋体"/>
                <w:color w:val="auto"/>
                <w:sz w:val="24"/>
                <w:szCs w:val="24"/>
              </w:rPr>
            </w:pPr>
            <w:r>
              <w:rPr>
                <w:rFonts w:ascii="宋体" w:hAnsi="宋体" w:eastAsia="宋体" w:cs="宋体"/>
                <w:color w:val="auto"/>
                <w:spacing w:val="1"/>
                <w:sz w:val="24"/>
                <w:szCs w:val="24"/>
              </w:rPr>
              <w:t>绩效目标合理性</w:t>
            </w:r>
          </w:p>
        </w:tc>
        <w:tc>
          <w:tcPr>
            <w:tcW w:w="509" w:type="dxa"/>
            <w:vAlign w:val="top"/>
          </w:tcPr>
          <w:p>
            <w:pPr>
              <w:spacing w:before="144"/>
              <w:ind w:left="18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523" w:type="dxa"/>
            <w:vAlign w:val="top"/>
          </w:tcPr>
          <w:p>
            <w:pPr>
              <w:spacing w:before="144"/>
              <w:ind w:left="69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Merge w:val="continue"/>
            <w:tcBorders>
              <w:top w:val="nil"/>
            </w:tcBorders>
            <w:vAlign w:val="top"/>
          </w:tcPr>
          <w:p>
            <w:pPr>
              <w:pStyle w:val="23"/>
              <w:rPr>
                <w:color w:val="auto"/>
              </w:rPr>
            </w:pPr>
          </w:p>
        </w:tc>
        <w:tc>
          <w:tcPr>
            <w:tcW w:w="1079" w:type="dxa"/>
            <w:vMerge w:val="continue"/>
            <w:tcBorders>
              <w:top w:val="nil"/>
            </w:tcBorders>
            <w:vAlign w:val="top"/>
          </w:tcPr>
          <w:p>
            <w:pPr>
              <w:pStyle w:val="23"/>
              <w:rPr>
                <w:color w:val="auto"/>
              </w:rPr>
            </w:pPr>
          </w:p>
        </w:tc>
        <w:tc>
          <w:tcPr>
            <w:tcW w:w="2108" w:type="dxa"/>
            <w:vAlign w:val="top"/>
          </w:tcPr>
          <w:p>
            <w:pPr>
              <w:spacing w:before="100" w:line="219" w:lineRule="auto"/>
              <w:ind w:left="206"/>
              <w:rPr>
                <w:rFonts w:ascii="宋体" w:hAnsi="宋体" w:eastAsia="宋体" w:cs="宋体"/>
                <w:color w:val="auto"/>
                <w:sz w:val="24"/>
                <w:szCs w:val="24"/>
              </w:rPr>
            </w:pPr>
            <w:r>
              <w:rPr>
                <w:rFonts w:ascii="宋体" w:hAnsi="宋体" w:eastAsia="宋体" w:cs="宋体"/>
                <w:color w:val="auto"/>
                <w:spacing w:val="1"/>
                <w:sz w:val="24"/>
                <w:szCs w:val="24"/>
              </w:rPr>
              <w:t>绩效指标明确性</w:t>
            </w:r>
          </w:p>
        </w:tc>
        <w:tc>
          <w:tcPr>
            <w:tcW w:w="509" w:type="dxa"/>
            <w:vAlign w:val="top"/>
          </w:tcPr>
          <w:p>
            <w:pPr>
              <w:spacing w:before="124" w:line="235" w:lineRule="auto"/>
              <w:ind w:left="18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523" w:type="dxa"/>
            <w:vAlign w:val="top"/>
          </w:tcPr>
          <w:p>
            <w:pPr>
              <w:spacing w:before="124" w:line="235" w:lineRule="auto"/>
              <w:ind w:left="698"/>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Merge w:val="restart"/>
            <w:tcBorders>
              <w:bottom w:val="nil"/>
            </w:tcBorders>
            <w:vAlign w:val="top"/>
          </w:tcPr>
          <w:p>
            <w:pPr>
              <w:pStyle w:val="23"/>
              <w:spacing w:line="321" w:lineRule="auto"/>
              <w:rPr>
                <w:color w:val="auto"/>
              </w:rPr>
            </w:pPr>
          </w:p>
          <w:p>
            <w:pPr>
              <w:spacing w:before="78" w:line="220" w:lineRule="auto"/>
              <w:ind w:left="582"/>
              <w:rPr>
                <w:rFonts w:ascii="宋体" w:hAnsi="宋体" w:eastAsia="宋体" w:cs="宋体"/>
                <w:color w:val="auto"/>
                <w:sz w:val="24"/>
                <w:szCs w:val="24"/>
              </w:rPr>
            </w:pPr>
            <w:r>
              <w:rPr>
                <w:rFonts w:ascii="宋体" w:hAnsi="宋体" w:eastAsia="宋体" w:cs="宋体"/>
                <w:color w:val="auto"/>
                <w:spacing w:val="2"/>
                <w:sz w:val="24"/>
                <w:szCs w:val="24"/>
              </w:rPr>
              <w:t>资金投入</w:t>
            </w:r>
          </w:p>
        </w:tc>
        <w:tc>
          <w:tcPr>
            <w:tcW w:w="1079" w:type="dxa"/>
            <w:vMerge w:val="restart"/>
            <w:tcBorders>
              <w:bottom w:val="nil"/>
            </w:tcBorders>
            <w:vAlign w:val="top"/>
          </w:tcPr>
          <w:p>
            <w:pPr>
              <w:pStyle w:val="23"/>
              <w:spacing w:line="343" w:lineRule="auto"/>
              <w:rPr>
                <w:color w:val="auto"/>
              </w:rPr>
            </w:pPr>
          </w:p>
          <w:p>
            <w:pPr>
              <w:spacing w:before="78"/>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108" w:type="dxa"/>
            <w:vAlign w:val="top"/>
          </w:tcPr>
          <w:p>
            <w:pPr>
              <w:spacing w:before="119" w:line="219" w:lineRule="auto"/>
              <w:ind w:left="206"/>
              <w:rPr>
                <w:rFonts w:ascii="宋体" w:hAnsi="宋体" w:eastAsia="宋体" w:cs="宋体"/>
                <w:color w:val="auto"/>
                <w:sz w:val="24"/>
                <w:szCs w:val="24"/>
              </w:rPr>
            </w:pPr>
            <w:r>
              <w:rPr>
                <w:rFonts w:ascii="宋体" w:hAnsi="宋体" w:eastAsia="宋体" w:cs="宋体"/>
                <w:color w:val="auto"/>
                <w:spacing w:val="1"/>
                <w:sz w:val="24"/>
                <w:szCs w:val="24"/>
              </w:rPr>
              <w:t>预算编制科学性</w:t>
            </w:r>
          </w:p>
        </w:tc>
        <w:tc>
          <w:tcPr>
            <w:tcW w:w="509" w:type="dxa"/>
            <w:vAlign w:val="top"/>
          </w:tcPr>
          <w:p>
            <w:pPr>
              <w:spacing w:before="144"/>
              <w:ind w:left="18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523" w:type="dxa"/>
            <w:vAlign w:val="top"/>
          </w:tcPr>
          <w:p>
            <w:pPr>
              <w:spacing w:before="144" w:line="241" w:lineRule="auto"/>
              <w:ind w:left="69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52" w:type="dxa"/>
            <w:vMerge w:val="continue"/>
            <w:tcBorders>
              <w:top w:val="nil"/>
            </w:tcBorders>
            <w:vAlign w:val="top"/>
          </w:tcPr>
          <w:p>
            <w:pPr>
              <w:pStyle w:val="23"/>
              <w:rPr>
                <w:color w:val="auto"/>
              </w:rPr>
            </w:pPr>
          </w:p>
        </w:tc>
        <w:tc>
          <w:tcPr>
            <w:tcW w:w="1398" w:type="dxa"/>
            <w:vMerge w:val="continue"/>
            <w:tcBorders>
              <w:top w:val="nil"/>
            </w:tcBorders>
            <w:vAlign w:val="top"/>
          </w:tcPr>
          <w:p>
            <w:pPr>
              <w:pStyle w:val="23"/>
              <w:rPr>
                <w:color w:val="auto"/>
              </w:rPr>
            </w:pPr>
          </w:p>
        </w:tc>
        <w:tc>
          <w:tcPr>
            <w:tcW w:w="2138" w:type="dxa"/>
            <w:vMerge w:val="continue"/>
            <w:tcBorders>
              <w:top w:val="nil"/>
            </w:tcBorders>
            <w:vAlign w:val="top"/>
          </w:tcPr>
          <w:p>
            <w:pPr>
              <w:pStyle w:val="23"/>
              <w:rPr>
                <w:color w:val="auto"/>
              </w:rPr>
            </w:pPr>
          </w:p>
        </w:tc>
        <w:tc>
          <w:tcPr>
            <w:tcW w:w="1079" w:type="dxa"/>
            <w:vMerge w:val="continue"/>
            <w:tcBorders>
              <w:top w:val="nil"/>
            </w:tcBorders>
            <w:vAlign w:val="top"/>
          </w:tcPr>
          <w:p>
            <w:pPr>
              <w:pStyle w:val="23"/>
              <w:rPr>
                <w:color w:val="auto"/>
              </w:rPr>
            </w:pPr>
          </w:p>
        </w:tc>
        <w:tc>
          <w:tcPr>
            <w:tcW w:w="2108" w:type="dxa"/>
            <w:vAlign w:val="top"/>
          </w:tcPr>
          <w:p>
            <w:pPr>
              <w:spacing w:before="161" w:line="220" w:lineRule="auto"/>
              <w:ind w:left="206"/>
              <w:rPr>
                <w:rFonts w:ascii="宋体" w:hAnsi="宋体" w:eastAsia="宋体" w:cs="宋体"/>
                <w:color w:val="auto"/>
                <w:sz w:val="24"/>
                <w:szCs w:val="24"/>
              </w:rPr>
            </w:pPr>
            <w:r>
              <w:rPr>
                <w:rFonts w:ascii="宋体" w:hAnsi="宋体" w:eastAsia="宋体" w:cs="宋体"/>
                <w:color w:val="auto"/>
                <w:spacing w:val="1"/>
                <w:sz w:val="24"/>
                <w:szCs w:val="24"/>
              </w:rPr>
              <w:t>资金分配合理性</w:t>
            </w:r>
          </w:p>
        </w:tc>
        <w:tc>
          <w:tcPr>
            <w:tcW w:w="509" w:type="dxa"/>
            <w:vAlign w:val="top"/>
          </w:tcPr>
          <w:p>
            <w:pPr>
              <w:spacing w:before="184"/>
              <w:ind w:left="18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523" w:type="dxa"/>
            <w:vAlign w:val="top"/>
          </w:tcPr>
          <w:p>
            <w:pPr>
              <w:spacing w:before="184"/>
              <w:ind w:left="69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152" w:type="dxa"/>
            <w:vMerge w:val="restart"/>
            <w:tcBorders>
              <w:bottom w:val="nil"/>
            </w:tcBorders>
            <w:vAlign w:val="top"/>
          </w:tcPr>
          <w:p>
            <w:pPr>
              <w:pStyle w:val="23"/>
              <w:spacing w:line="309" w:lineRule="auto"/>
              <w:rPr>
                <w:color w:val="auto"/>
              </w:rPr>
            </w:pPr>
          </w:p>
          <w:p>
            <w:pPr>
              <w:pStyle w:val="23"/>
              <w:spacing w:line="309" w:lineRule="auto"/>
              <w:rPr>
                <w:color w:val="auto"/>
              </w:rPr>
            </w:pPr>
          </w:p>
          <w:p>
            <w:pPr>
              <w:pStyle w:val="23"/>
              <w:spacing w:line="310" w:lineRule="auto"/>
              <w:rPr>
                <w:color w:val="auto"/>
              </w:rPr>
            </w:pPr>
          </w:p>
          <w:p>
            <w:pPr>
              <w:spacing w:before="78" w:line="220" w:lineRule="auto"/>
              <w:ind w:left="44"/>
              <w:rPr>
                <w:rFonts w:ascii="宋体" w:hAnsi="宋体" w:eastAsia="宋体" w:cs="宋体"/>
                <w:color w:val="auto"/>
                <w:sz w:val="24"/>
                <w:szCs w:val="24"/>
              </w:rPr>
            </w:pPr>
            <w:r>
              <w:rPr>
                <w:rFonts w:ascii="宋体" w:hAnsi="宋体" w:eastAsia="宋体" w:cs="宋体"/>
                <w:color w:val="auto"/>
                <w:spacing w:val="2"/>
                <w:sz w:val="24"/>
                <w:szCs w:val="24"/>
              </w:rPr>
              <w:t>项目过程</w:t>
            </w:r>
          </w:p>
        </w:tc>
        <w:tc>
          <w:tcPr>
            <w:tcW w:w="1398" w:type="dxa"/>
            <w:vMerge w:val="restart"/>
            <w:tcBorders>
              <w:bottom w:val="nil"/>
            </w:tcBorders>
            <w:vAlign w:val="top"/>
          </w:tcPr>
          <w:p>
            <w:pPr>
              <w:pStyle w:val="23"/>
              <w:spacing w:line="317" w:lineRule="auto"/>
              <w:rPr>
                <w:color w:val="auto"/>
              </w:rPr>
            </w:pPr>
          </w:p>
          <w:p>
            <w:pPr>
              <w:pStyle w:val="23"/>
              <w:spacing w:line="317" w:lineRule="auto"/>
              <w:rPr>
                <w:color w:val="auto"/>
              </w:rPr>
            </w:pPr>
          </w:p>
          <w:p>
            <w:pPr>
              <w:pStyle w:val="23"/>
              <w:spacing w:line="317" w:lineRule="auto"/>
              <w:rPr>
                <w:color w:val="auto"/>
              </w:rPr>
            </w:pPr>
          </w:p>
          <w:p>
            <w:pPr>
              <w:spacing w:before="78"/>
              <w:ind w:left="571"/>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2138" w:type="dxa"/>
            <w:vMerge w:val="restart"/>
            <w:tcBorders>
              <w:bottom w:val="nil"/>
            </w:tcBorders>
            <w:vAlign w:val="top"/>
          </w:tcPr>
          <w:p>
            <w:pPr>
              <w:pStyle w:val="23"/>
              <w:spacing w:line="471" w:lineRule="auto"/>
              <w:rPr>
                <w:color w:val="auto"/>
              </w:rPr>
            </w:pPr>
          </w:p>
          <w:p>
            <w:pPr>
              <w:spacing w:before="78" w:line="219" w:lineRule="auto"/>
              <w:ind w:left="582"/>
              <w:rPr>
                <w:rFonts w:ascii="宋体" w:hAnsi="宋体" w:eastAsia="宋体" w:cs="宋体"/>
                <w:color w:val="auto"/>
                <w:sz w:val="24"/>
                <w:szCs w:val="24"/>
              </w:rPr>
            </w:pPr>
            <w:r>
              <w:rPr>
                <w:rFonts w:ascii="宋体" w:hAnsi="宋体" w:eastAsia="宋体" w:cs="宋体"/>
                <w:color w:val="auto"/>
                <w:spacing w:val="2"/>
                <w:sz w:val="24"/>
                <w:szCs w:val="24"/>
              </w:rPr>
              <w:t>资金管理</w:t>
            </w:r>
          </w:p>
        </w:tc>
        <w:tc>
          <w:tcPr>
            <w:tcW w:w="1079" w:type="dxa"/>
            <w:vMerge w:val="restart"/>
            <w:tcBorders>
              <w:bottom w:val="nil"/>
            </w:tcBorders>
            <w:vAlign w:val="top"/>
          </w:tcPr>
          <w:p>
            <w:pPr>
              <w:pStyle w:val="23"/>
              <w:spacing w:line="247" w:lineRule="auto"/>
              <w:rPr>
                <w:color w:val="auto"/>
              </w:rPr>
            </w:pPr>
          </w:p>
          <w:p>
            <w:pPr>
              <w:pStyle w:val="23"/>
              <w:spacing w:line="247" w:lineRule="auto"/>
              <w:rPr>
                <w:color w:val="auto"/>
              </w:rPr>
            </w:pPr>
          </w:p>
          <w:p>
            <w:pPr>
              <w:spacing w:before="78"/>
              <w:ind w:left="415"/>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2108" w:type="dxa"/>
            <w:vAlign w:val="top"/>
          </w:tcPr>
          <w:p>
            <w:pPr>
              <w:spacing w:before="92" w:line="219" w:lineRule="auto"/>
              <w:ind w:left="446"/>
              <w:rPr>
                <w:rFonts w:ascii="宋体" w:hAnsi="宋体" w:eastAsia="宋体" w:cs="宋体"/>
                <w:color w:val="auto"/>
                <w:sz w:val="24"/>
                <w:szCs w:val="24"/>
              </w:rPr>
            </w:pPr>
            <w:r>
              <w:rPr>
                <w:rFonts w:ascii="宋体" w:hAnsi="宋体" w:eastAsia="宋体" w:cs="宋体"/>
                <w:color w:val="auto"/>
                <w:spacing w:val="2"/>
                <w:sz w:val="24"/>
                <w:szCs w:val="24"/>
              </w:rPr>
              <w:t>资金到位率</w:t>
            </w:r>
          </w:p>
        </w:tc>
        <w:tc>
          <w:tcPr>
            <w:tcW w:w="509" w:type="dxa"/>
            <w:vAlign w:val="top"/>
          </w:tcPr>
          <w:p>
            <w:pPr>
              <w:spacing w:before="115" w:line="219" w:lineRule="auto"/>
              <w:ind w:left="18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523" w:type="dxa"/>
            <w:vAlign w:val="top"/>
          </w:tcPr>
          <w:p>
            <w:pPr>
              <w:spacing w:before="115" w:line="219" w:lineRule="auto"/>
              <w:ind w:left="69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Merge w:val="continue"/>
            <w:tcBorders>
              <w:top w:val="nil"/>
              <w:bottom w:val="nil"/>
            </w:tcBorders>
            <w:vAlign w:val="top"/>
          </w:tcPr>
          <w:p>
            <w:pPr>
              <w:pStyle w:val="23"/>
              <w:rPr>
                <w:color w:val="auto"/>
              </w:rPr>
            </w:pPr>
          </w:p>
        </w:tc>
        <w:tc>
          <w:tcPr>
            <w:tcW w:w="1079" w:type="dxa"/>
            <w:vMerge w:val="continue"/>
            <w:tcBorders>
              <w:top w:val="nil"/>
              <w:bottom w:val="nil"/>
            </w:tcBorders>
            <w:vAlign w:val="top"/>
          </w:tcPr>
          <w:p>
            <w:pPr>
              <w:pStyle w:val="23"/>
              <w:rPr>
                <w:color w:val="auto"/>
              </w:rPr>
            </w:pPr>
          </w:p>
        </w:tc>
        <w:tc>
          <w:tcPr>
            <w:tcW w:w="2108" w:type="dxa"/>
            <w:vAlign w:val="top"/>
          </w:tcPr>
          <w:p>
            <w:pPr>
              <w:spacing w:before="122" w:line="219" w:lineRule="auto"/>
              <w:ind w:left="446"/>
              <w:rPr>
                <w:rFonts w:ascii="宋体" w:hAnsi="宋体" w:eastAsia="宋体" w:cs="宋体"/>
                <w:color w:val="auto"/>
                <w:sz w:val="24"/>
                <w:szCs w:val="24"/>
              </w:rPr>
            </w:pPr>
            <w:r>
              <w:rPr>
                <w:rFonts w:ascii="宋体" w:hAnsi="宋体" w:eastAsia="宋体" w:cs="宋体"/>
                <w:color w:val="auto"/>
                <w:spacing w:val="2"/>
                <w:sz w:val="24"/>
                <w:szCs w:val="24"/>
              </w:rPr>
              <w:t>预算执行率</w:t>
            </w:r>
          </w:p>
        </w:tc>
        <w:tc>
          <w:tcPr>
            <w:tcW w:w="509" w:type="dxa"/>
            <w:vAlign w:val="top"/>
          </w:tcPr>
          <w:p>
            <w:pPr>
              <w:spacing w:before="145"/>
              <w:ind w:left="188"/>
              <w:rPr>
                <w:rFonts w:ascii="宋体" w:hAnsi="宋体" w:eastAsia="宋体" w:cs="宋体"/>
                <w:color w:val="auto"/>
                <w:sz w:val="24"/>
                <w:szCs w:val="24"/>
              </w:rPr>
            </w:pPr>
            <w:r>
              <w:rPr>
                <w:rFonts w:ascii="宋体" w:hAnsi="宋体" w:eastAsia="宋体" w:cs="宋体"/>
                <w:color w:val="auto"/>
                <w:sz w:val="24"/>
                <w:szCs w:val="24"/>
              </w:rPr>
              <w:t>5</w:t>
            </w:r>
          </w:p>
        </w:tc>
        <w:tc>
          <w:tcPr>
            <w:tcW w:w="1523" w:type="dxa"/>
            <w:vAlign w:val="top"/>
          </w:tcPr>
          <w:p>
            <w:pPr>
              <w:spacing w:before="145" w:line="241" w:lineRule="auto"/>
              <w:ind w:left="69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Merge w:val="continue"/>
            <w:tcBorders>
              <w:top w:val="nil"/>
            </w:tcBorders>
            <w:vAlign w:val="top"/>
          </w:tcPr>
          <w:p>
            <w:pPr>
              <w:pStyle w:val="23"/>
              <w:rPr>
                <w:color w:val="auto"/>
              </w:rPr>
            </w:pPr>
          </w:p>
        </w:tc>
        <w:tc>
          <w:tcPr>
            <w:tcW w:w="1079" w:type="dxa"/>
            <w:vMerge w:val="continue"/>
            <w:tcBorders>
              <w:top w:val="nil"/>
            </w:tcBorders>
            <w:vAlign w:val="top"/>
          </w:tcPr>
          <w:p>
            <w:pPr>
              <w:pStyle w:val="23"/>
              <w:rPr>
                <w:color w:val="auto"/>
              </w:rPr>
            </w:pPr>
          </w:p>
        </w:tc>
        <w:tc>
          <w:tcPr>
            <w:tcW w:w="2108" w:type="dxa"/>
            <w:vAlign w:val="top"/>
          </w:tcPr>
          <w:p>
            <w:pPr>
              <w:spacing w:before="103" w:line="219" w:lineRule="auto"/>
              <w:ind w:left="206"/>
              <w:rPr>
                <w:rFonts w:ascii="宋体" w:hAnsi="宋体" w:eastAsia="宋体" w:cs="宋体"/>
                <w:color w:val="auto"/>
                <w:sz w:val="24"/>
                <w:szCs w:val="24"/>
              </w:rPr>
            </w:pPr>
            <w:r>
              <w:rPr>
                <w:rFonts w:ascii="宋体" w:hAnsi="宋体" w:eastAsia="宋体" w:cs="宋体"/>
                <w:color w:val="auto"/>
                <w:spacing w:val="1"/>
                <w:sz w:val="24"/>
                <w:szCs w:val="24"/>
              </w:rPr>
              <w:t>资金使用合规性</w:t>
            </w:r>
          </w:p>
        </w:tc>
        <w:tc>
          <w:tcPr>
            <w:tcW w:w="509" w:type="dxa"/>
            <w:vAlign w:val="top"/>
          </w:tcPr>
          <w:p>
            <w:pPr>
              <w:spacing w:before="126" w:line="225" w:lineRule="auto"/>
              <w:ind w:left="188"/>
              <w:rPr>
                <w:rFonts w:ascii="宋体" w:hAnsi="宋体" w:eastAsia="宋体" w:cs="宋体"/>
                <w:color w:val="auto"/>
                <w:sz w:val="24"/>
                <w:szCs w:val="24"/>
              </w:rPr>
            </w:pPr>
            <w:r>
              <w:rPr>
                <w:rFonts w:ascii="宋体" w:hAnsi="宋体" w:eastAsia="宋体" w:cs="宋体"/>
                <w:color w:val="auto"/>
                <w:sz w:val="24"/>
                <w:szCs w:val="24"/>
              </w:rPr>
              <w:t>8</w:t>
            </w:r>
          </w:p>
        </w:tc>
        <w:tc>
          <w:tcPr>
            <w:tcW w:w="1523" w:type="dxa"/>
            <w:vAlign w:val="top"/>
          </w:tcPr>
          <w:p>
            <w:pPr>
              <w:spacing w:before="126" w:line="225" w:lineRule="auto"/>
              <w:ind w:left="698"/>
              <w:rPr>
                <w:rFonts w:ascii="宋体" w:hAnsi="宋体" w:eastAsia="宋体" w:cs="宋体"/>
                <w:color w:val="auto"/>
                <w:sz w:val="24"/>
                <w:szCs w:val="24"/>
              </w:rPr>
            </w:pPr>
            <w:r>
              <w:rPr>
                <w:rFonts w:ascii="宋体" w:hAnsi="宋体" w:eastAsia="宋体" w:cs="宋体"/>
                <w:color w:val="auto"/>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Merge w:val="restart"/>
            <w:tcBorders>
              <w:bottom w:val="nil"/>
            </w:tcBorders>
            <w:vAlign w:val="top"/>
          </w:tcPr>
          <w:p>
            <w:pPr>
              <w:pStyle w:val="23"/>
              <w:spacing w:line="264" w:lineRule="auto"/>
              <w:rPr>
                <w:color w:val="auto"/>
              </w:rPr>
            </w:pPr>
          </w:p>
          <w:p>
            <w:pPr>
              <w:spacing w:before="78" w:line="220" w:lineRule="auto"/>
              <w:ind w:left="582"/>
              <w:rPr>
                <w:rFonts w:ascii="宋体" w:hAnsi="宋体" w:eastAsia="宋体" w:cs="宋体"/>
                <w:color w:val="auto"/>
                <w:sz w:val="24"/>
                <w:szCs w:val="24"/>
              </w:rPr>
            </w:pPr>
            <w:r>
              <w:rPr>
                <w:rFonts w:ascii="宋体" w:hAnsi="宋体" w:eastAsia="宋体" w:cs="宋体"/>
                <w:color w:val="auto"/>
                <w:spacing w:val="2"/>
                <w:sz w:val="24"/>
                <w:szCs w:val="24"/>
              </w:rPr>
              <w:t>组织实施</w:t>
            </w:r>
          </w:p>
        </w:tc>
        <w:tc>
          <w:tcPr>
            <w:tcW w:w="1079" w:type="dxa"/>
            <w:vMerge w:val="restart"/>
            <w:tcBorders>
              <w:bottom w:val="nil"/>
            </w:tcBorders>
            <w:vAlign w:val="top"/>
          </w:tcPr>
          <w:p>
            <w:pPr>
              <w:pStyle w:val="23"/>
              <w:spacing w:line="287" w:lineRule="auto"/>
              <w:rPr>
                <w:color w:val="auto"/>
              </w:rPr>
            </w:pPr>
          </w:p>
          <w:p>
            <w:pPr>
              <w:spacing w:before="78"/>
              <w:ind w:left="415"/>
              <w:rPr>
                <w:rFonts w:ascii="宋体" w:hAnsi="宋体" w:eastAsia="宋体" w:cs="宋体"/>
                <w:color w:val="auto"/>
                <w:sz w:val="24"/>
                <w:szCs w:val="24"/>
              </w:rPr>
            </w:pPr>
            <w:r>
              <w:rPr>
                <w:rFonts w:ascii="宋体" w:hAnsi="宋体" w:eastAsia="宋体" w:cs="宋体"/>
                <w:color w:val="auto"/>
                <w:spacing w:val="-7"/>
                <w:sz w:val="24"/>
                <w:szCs w:val="24"/>
              </w:rPr>
              <w:t>10</w:t>
            </w:r>
          </w:p>
        </w:tc>
        <w:tc>
          <w:tcPr>
            <w:tcW w:w="2108" w:type="dxa"/>
            <w:vAlign w:val="top"/>
          </w:tcPr>
          <w:p>
            <w:pPr>
              <w:spacing w:before="114" w:line="219" w:lineRule="auto"/>
              <w:ind w:left="206"/>
              <w:rPr>
                <w:rFonts w:ascii="宋体" w:hAnsi="宋体" w:eastAsia="宋体" w:cs="宋体"/>
                <w:color w:val="auto"/>
                <w:sz w:val="24"/>
                <w:szCs w:val="24"/>
              </w:rPr>
            </w:pPr>
            <w:r>
              <w:rPr>
                <w:rFonts w:ascii="宋体" w:hAnsi="宋体" w:eastAsia="宋体" w:cs="宋体"/>
                <w:color w:val="auto"/>
                <w:spacing w:val="1"/>
                <w:sz w:val="24"/>
                <w:szCs w:val="24"/>
              </w:rPr>
              <w:t>管理制度健全性</w:t>
            </w:r>
          </w:p>
        </w:tc>
        <w:tc>
          <w:tcPr>
            <w:tcW w:w="509" w:type="dxa"/>
            <w:vAlign w:val="top"/>
          </w:tcPr>
          <w:p>
            <w:pPr>
              <w:spacing w:before="137"/>
              <w:ind w:left="188"/>
              <w:rPr>
                <w:rFonts w:ascii="宋体" w:hAnsi="宋体" w:eastAsia="宋体" w:cs="宋体"/>
                <w:color w:val="auto"/>
                <w:sz w:val="24"/>
                <w:szCs w:val="24"/>
              </w:rPr>
            </w:pPr>
            <w:r>
              <w:rPr>
                <w:rFonts w:ascii="宋体" w:hAnsi="宋体" w:eastAsia="宋体" w:cs="宋体"/>
                <w:color w:val="auto"/>
                <w:sz w:val="24"/>
                <w:szCs w:val="24"/>
              </w:rPr>
              <w:t>5</w:t>
            </w:r>
          </w:p>
        </w:tc>
        <w:tc>
          <w:tcPr>
            <w:tcW w:w="1523" w:type="dxa"/>
            <w:vAlign w:val="top"/>
          </w:tcPr>
          <w:p>
            <w:pPr>
              <w:spacing w:before="138"/>
              <w:ind w:left="69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152" w:type="dxa"/>
            <w:vMerge w:val="continue"/>
            <w:tcBorders>
              <w:top w:val="nil"/>
            </w:tcBorders>
            <w:vAlign w:val="top"/>
          </w:tcPr>
          <w:p>
            <w:pPr>
              <w:pStyle w:val="23"/>
              <w:rPr>
                <w:color w:val="auto"/>
              </w:rPr>
            </w:pPr>
          </w:p>
        </w:tc>
        <w:tc>
          <w:tcPr>
            <w:tcW w:w="1398" w:type="dxa"/>
            <w:vMerge w:val="continue"/>
            <w:tcBorders>
              <w:top w:val="nil"/>
            </w:tcBorders>
            <w:vAlign w:val="top"/>
          </w:tcPr>
          <w:p>
            <w:pPr>
              <w:pStyle w:val="23"/>
              <w:rPr>
                <w:color w:val="auto"/>
              </w:rPr>
            </w:pPr>
          </w:p>
        </w:tc>
        <w:tc>
          <w:tcPr>
            <w:tcW w:w="2138" w:type="dxa"/>
            <w:vMerge w:val="continue"/>
            <w:tcBorders>
              <w:top w:val="nil"/>
            </w:tcBorders>
            <w:vAlign w:val="top"/>
          </w:tcPr>
          <w:p>
            <w:pPr>
              <w:pStyle w:val="23"/>
              <w:rPr>
                <w:color w:val="auto"/>
              </w:rPr>
            </w:pPr>
          </w:p>
        </w:tc>
        <w:tc>
          <w:tcPr>
            <w:tcW w:w="1079" w:type="dxa"/>
            <w:vMerge w:val="continue"/>
            <w:tcBorders>
              <w:top w:val="nil"/>
            </w:tcBorders>
            <w:vAlign w:val="top"/>
          </w:tcPr>
          <w:p>
            <w:pPr>
              <w:pStyle w:val="23"/>
              <w:rPr>
                <w:color w:val="auto"/>
              </w:rPr>
            </w:pPr>
          </w:p>
        </w:tc>
        <w:tc>
          <w:tcPr>
            <w:tcW w:w="2108" w:type="dxa"/>
            <w:vAlign w:val="top"/>
          </w:tcPr>
          <w:p>
            <w:pPr>
              <w:spacing w:before="104" w:line="219" w:lineRule="auto"/>
              <w:ind w:left="206"/>
              <w:rPr>
                <w:rFonts w:ascii="宋体" w:hAnsi="宋体" w:eastAsia="宋体" w:cs="宋体"/>
                <w:color w:val="auto"/>
                <w:sz w:val="24"/>
                <w:szCs w:val="24"/>
              </w:rPr>
            </w:pPr>
            <w:r>
              <w:rPr>
                <w:rFonts w:ascii="宋体" w:hAnsi="宋体" w:eastAsia="宋体" w:cs="宋体"/>
                <w:color w:val="auto"/>
                <w:spacing w:val="-2"/>
                <w:sz w:val="24"/>
                <w:szCs w:val="24"/>
              </w:rPr>
              <w:t>制度执行有效性</w:t>
            </w:r>
          </w:p>
        </w:tc>
        <w:tc>
          <w:tcPr>
            <w:tcW w:w="509" w:type="dxa"/>
            <w:vAlign w:val="top"/>
          </w:tcPr>
          <w:p>
            <w:pPr>
              <w:spacing w:before="128" w:line="232" w:lineRule="auto"/>
              <w:ind w:left="188"/>
              <w:rPr>
                <w:rFonts w:ascii="宋体" w:hAnsi="宋体" w:eastAsia="宋体" w:cs="宋体"/>
                <w:color w:val="auto"/>
                <w:sz w:val="24"/>
                <w:szCs w:val="24"/>
              </w:rPr>
            </w:pPr>
            <w:r>
              <w:rPr>
                <w:rFonts w:ascii="宋体" w:hAnsi="宋体" w:eastAsia="宋体" w:cs="宋体"/>
                <w:color w:val="auto"/>
                <w:sz w:val="24"/>
                <w:szCs w:val="24"/>
              </w:rPr>
              <w:t>5</w:t>
            </w:r>
          </w:p>
        </w:tc>
        <w:tc>
          <w:tcPr>
            <w:tcW w:w="1523" w:type="dxa"/>
            <w:vAlign w:val="top"/>
          </w:tcPr>
          <w:p>
            <w:pPr>
              <w:spacing w:before="128" w:line="232" w:lineRule="auto"/>
              <w:ind w:left="698"/>
              <w:rPr>
                <w:rFonts w:ascii="宋体" w:hAnsi="宋体" w:eastAsia="宋体" w:cs="宋体"/>
                <w:color w:val="auto"/>
                <w:sz w:val="24"/>
                <w:szCs w:val="24"/>
              </w:rPr>
            </w:pPr>
            <w:r>
              <w:rPr>
                <w:rFonts w:ascii="宋体" w:hAnsi="宋体" w:eastAsia="宋体" w:cs="宋体"/>
                <w:color w:val="auto"/>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152" w:type="dxa"/>
            <w:vMerge w:val="restart"/>
            <w:tcBorders>
              <w:bottom w:val="nil"/>
            </w:tcBorders>
            <w:vAlign w:val="top"/>
          </w:tcPr>
          <w:p>
            <w:pPr>
              <w:pStyle w:val="23"/>
              <w:spacing w:line="261" w:lineRule="auto"/>
              <w:rPr>
                <w:color w:val="auto"/>
              </w:rPr>
            </w:pPr>
          </w:p>
          <w:p>
            <w:pPr>
              <w:pStyle w:val="23"/>
              <w:spacing w:line="261" w:lineRule="auto"/>
              <w:rPr>
                <w:color w:val="auto"/>
              </w:rPr>
            </w:pPr>
          </w:p>
          <w:p>
            <w:pPr>
              <w:pStyle w:val="23"/>
              <w:spacing w:line="262" w:lineRule="auto"/>
              <w:rPr>
                <w:color w:val="auto"/>
              </w:rPr>
            </w:pPr>
          </w:p>
          <w:p>
            <w:pPr>
              <w:pStyle w:val="23"/>
              <w:spacing w:line="262" w:lineRule="auto"/>
              <w:rPr>
                <w:color w:val="auto"/>
              </w:rPr>
            </w:pPr>
          </w:p>
          <w:p>
            <w:pPr>
              <w:pStyle w:val="23"/>
              <w:spacing w:line="262" w:lineRule="auto"/>
              <w:rPr>
                <w:color w:val="auto"/>
              </w:rPr>
            </w:pPr>
          </w:p>
          <w:p>
            <w:pPr>
              <w:spacing w:before="78" w:line="220" w:lineRule="auto"/>
              <w:ind w:left="44"/>
              <w:rPr>
                <w:rFonts w:ascii="宋体" w:hAnsi="宋体" w:eastAsia="宋体" w:cs="宋体"/>
                <w:color w:val="auto"/>
                <w:sz w:val="24"/>
                <w:szCs w:val="24"/>
              </w:rPr>
            </w:pPr>
            <w:r>
              <w:rPr>
                <w:rFonts w:ascii="宋体" w:hAnsi="宋体" w:eastAsia="宋体" w:cs="宋体"/>
                <w:color w:val="auto"/>
                <w:spacing w:val="2"/>
                <w:sz w:val="24"/>
                <w:szCs w:val="24"/>
              </w:rPr>
              <w:t>项目绩效</w:t>
            </w:r>
          </w:p>
        </w:tc>
        <w:tc>
          <w:tcPr>
            <w:tcW w:w="1398" w:type="dxa"/>
            <w:vMerge w:val="restart"/>
            <w:tcBorders>
              <w:bottom w:val="nil"/>
            </w:tcBorders>
            <w:vAlign w:val="top"/>
          </w:tcPr>
          <w:p>
            <w:pPr>
              <w:pStyle w:val="23"/>
              <w:spacing w:line="266" w:lineRule="auto"/>
              <w:rPr>
                <w:color w:val="auto"/>
              </w:rPr>
            </w:pPr>
          </w:p>
          <w:p>
            <w:pPr>
              <w:pStyle w:val="23"/>
              <w:spacing w:line="266" w:lineRule="auto"/>
              <w:rPr>
                <w:color w:val="auto"/>
              </w:rPr>
            </w:pPr>
          </w:p>
          <w:p>
            <w:pPr>
              <w:pStyle w:val="23"/>
              <w:spacing w:line="266" w:lineRule="auto"/>
              <w:rPr>
                <w:color w:val="auto"/>
              </w:rPr>
            </w:pPr>
          </w:p>
          <w:p>
            <w:pPr>
              <w:pStyle w:val="23"/>
              <w:spacing w:line="266" w:lineRule="auto"/>
              <w:rPr>
                <w:color w:val="auto"/>
              </w:rPr>
            </w:pPr>
          </w:p>
          <w:p>
            <w:pPr>
              <w:pStyle w:val="23"/>
              <w:spacing w:line="267" w:lineRule="auto"/>
              <w:rPr>
                <w:color w:val="auto"/>
              </w:rPr>
            </w:pPr>
          </w:p>
          <w:p>
            <w:pPr>
              <w:spacing w:before="78"/>
              <w:ind w:left="571"/>
              <w:rPr>
                <w:rFonts w:ascii="宋体" w:hAnsi="宋体" w:eastAsia="宋体" w:cs="宋体"/>
                <w:color w:val="auto"/>
                <w:sz w:val="24"/>
                <w:szCs w:val="24"/>
              </w:rPr>
            </w:pPr>
            <w:r>
              <w:rPr>
                <w:rFonts w:hint="eastAsia" w:ascii="宋体" w:hAnsi="宋体" w:eastAsia="宋体" w:cs="宋体"/>
                <w:color w:val="auto"/>
                <w:spacing w:val="-4"/>
                <w:sz w:val="24"/>
                <w:szCs w:val="24"/>
                <w:lang w:val="en-US" w:eastAsia="zh-CN"/>
              </w:rPr>
              <w:t>6</w:t>
            </w:r>
            <w:r>
              <w:rPr>
                <w:rFonts w:ascii="宋体" w:hAnsi="宋体" w:eastAsia="宋体" w:cs="宋体"/>
                <w:color w:val="auto"/>
                <w:spacing w:val="-4"/>
                <w:sz w:val="24"/>
                <w:szCs w:val="24"/>
              </w:rPr>
              <w:t>0</w:t>
            </w:r>
          </w:p>
        </w:tc>
        <w:tc>
          <w:tcPr>
            <w:tcW w:w="2138" w:type="dxa"/>
            <w:vAlign w:val="top"/>
          </w:tcPr>
          <w:p>
            <w:pPr>
              <w:spacing w:before="202" w:line="219" w:lineRule="auto"/>
              <w:ind w:left="582"/>
              <w:rPr>
                <w:rFonts w:hint="eastAsia" w:ascii="宋体" w:hAnsi="宋体" w:eastAsia="宋体" w:cs="宋体"/>
                <w:color w:val="auto"/>
                <w:sz w:val="24"/>
                <w:szCs w:val="24"/>
                <w:lang w:val="en-US" w:eastAsia="zh-CN"/>
              </w:rPr>
            </w:pPr>
            <w:r>
              <w:rPr>
                <w:rFonts w:ascii="宋体" w:hAnsi="宋体" w:eastAsia="宋体" w:cs="宋体"/>
                <w:color w:val="auto"/>
                <w:spacing w:val="2"/>
                <w:sz w:val="24"/>
                <w:szCs w:val="24"/>
              </w:rPr>
              <w:t>项目</w:t>
            </w:r>
            <w:r>
              <w:rPr>
                <w:rFonts w:hint="eastAsia" w:ascii="宋体" w:hAnsi="宋体" w:eastAsia="宋体" w:cs="宋体"/>
                <w:color w:val="auto"/>
                <w:spacing w:val="2"/>
                <w:sz w:val="24"/>
                <w:szCs w:val="24"/>
                <w:lang w:val="en-US" w:eastAsia="zh-CN"/>
              </w:rPr>
              <w:t>产出</w:t>
            </w:r>
          </w:p>
        </w:tc>
        <w:tc>
          <w:tcPr>
            <w:tcW w:w="1079" w:type="dxa"/>
            <w:vAlign w:val="top"/>
          </w:tcPr>
          <w:p>
            <w:pPr>
              <w:spacing w:before="227" w:line="241" w:lineRule="auto"/>
              <w:ind w:left="415"/>
              <w:rPr>
                <w:rFonts w:hint="eastAsia" w:ascii="宋体" w:hAnsi="宋体" w:eastAsia="宋体" w:cs="宋体"/>
                <w:color w:val="auto"/>
                <w:sz w:val="24"/>
                <w:szCs w:val="24"/>
                <w:lang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c>
          <w:tcPr>
            <w:tcW w:w="2108" w:type="dxa"/>
            <w:vAlign w:val="top"/>
          </w:tcPr>
          <w:p>
            <w:pPr>
              <w:spacing w:before="104" w:line="219" w:lineRule="auto"/>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案</w:t>
            </w:r>
            <w:r>
              <w:rPr>
                <w:rFonts w:hint="eastAsia" w:ascii="宋体" w:hAnsi="宋体" w:eastAsia="宋体" w:cs="宋体"/>
                <w:color w:val="auto"/>
                <w:spacing w:val="-2"/>
                <w:sz w:val="24"/>
                <w:szCs w:val="24"/>
                <w:lang w:val="en-US" w:eastAsia="en-US"/>
              </w:rPr>
              <w:t>卷扫描页数</w:t>
            </w:r>
          </w:p>
        </w:tc>
        <w:tc>
          <w:tcPr>
            <w:tcW w:w="509" w:type="dxa"/>
            <w:vAlign w:val="top"/>
          </w:tcPr>
          <w:p>
            <w:pPr>
              <w:spacing w:before="227" w:line="241" w:lineRule="auto"/>
              <w:ind w:left="128"/>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1523" w:type="dxa"/>
            <w:vAlign w:val="top"/>
          </w:tcPr>
          <w:p>
            <w:pPr>
              <w:spacing w:before="227" w:line="241" w:lineRule="auto"/>
              <w:ind w:left="638"/>
              <w:rPr>
                <w:rFonts w:hint="eastAsia" w:ascii="宋体" w:hAnsi="宋体" w:eastAsia="宋体" w:cs="宋体"/>
                <w:color w:val="auto"/>
                <w:sz w:val="24"/>
                <w:szCs w:val="24"/>
                <w:lang w:val="en-US"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Align w:val="top"/>
          </w:tcPr>
          <w:p>
            <w:pPr>
              <w:spacing w:before="184" w:line="219" w:lineRule="auto"/>
              <w:ind w:left="582"/>
              <w:rPr>
                <w:rFonts w:ascii="宋体" w:hAnsi="宋体" w:eastAsia="宋体" w:cs="宋体"/>
                <w:color w:val="auto"/>
                <w:sz w:val="24"/>
                <w:szCs w:val="24"/>
              </w:rPr>
            </w:pPr>
            <w:r>
              <w:rPr>
                <w:rFonts w:ascii="宋体" w:hAnsi="宋体" w:eastAsia="宋体" w:cs="宋体"/>
                <w:color w:val="auto"/>
                <w:spacing w:val="7"/>
                <w:sz w:val="24"/>
                <w:szCs w:val="24"/>
              </w:rPr>
              <w:t>项目产出</w:t>
            </w:r>
          </w:p>
        </w:tc>
        <w:tc>
          <w:tcPr>
            <w:tcW w:w="1079" w:type="dxa"/>
            <w:vAlign w:val="top"/>
          </w:tcPr>
          <w:p>
            <w:pPr>
              <w:spacing w:before="208"/>
              <w:ind w:left="415"/>
              <w:rPr>
                <w:rFonts w:hint="eastAsia" w:ascii="宋体" w:hAnsi="宋体" w:eastAsia="宋体" w:cs="宋体"/>
                <w:color w:val="auto"/>
                <w:sz w:val="24"/>
                <w:szCs w:val="24"/>
                <w:lang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c>
          <w:tcPr>
            <w:tcW w:w="2108" w:type="dxa"/>
            <w:vAlign w:val="top"/>
          </w:tcPr>
          <w:p>
            <w:pPr>
              <w:spacing w:before="104" w:line="219" w:lineRule="auto"/>
              <w:jc w:val="center"/>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陪审员补助支持</w:t>
            </w:r>
          </w:p>
          <w:p>
            <w:pPr>
              <w:spacing w:before="104" w:line="219" w:lineRule="auto"/>
              <w:ind w:left="206" w:firstLine="472" w:firstLineChars="200"/>
              <w:rPr>
                <w:rFonts w:ascii="宋体" w:hAnsi="宋体" w:eastAsia="宋体" w:cs="宋体"/>
                <w:color w:val="auto"/>
                <w:spacing w:val="-2"/>
                <w:sz w:val="24"/>
                <w:szCs w:val="24"/>
              </w:rPr>
            </w:pPr>
            <w:r>
              <w:rPr>
                <w:rFonts w:hint="eastAsia" w:ascii="宋体" w:hAnsi="宋体" w:eastAsia="宋体" w:cs="宋体"/>
                <w:color w:val="auto"/>
                <w:spacing w:val="-2"/>
                <w:sz w:val="24"/>
                <w:szCs w:val="24"/>
              </w:rPr>
              <w:t>案件数</w:t>
            </w:r>
          </w:p>
        </w:tc>
        <w:tc>
          <w:tcPr>
            <w:tcW w:w="509" w:type="dxa"/>
            <w:vAlign w:val="top"/>
          </w:tcPr>
          <w:p>
            <w:pPr>
              <w:spacing w:before="208"/>
              <w:ind w:left="128"/>
              <w:rPr>
                <w:rFonts w:hint="eastAsia" w:ascii="宋体" w:hAnsi="宋体" w:eastAsia="宋体" w:cs="宋体"/>
                <w:color w:val="auto"/>
                <w:sz w:val="24"/>
                <w:szCs w:val="24"/>
                <w:lang w:val="en-US"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c>
          <w:tcPr>
            <w:tcW w:w="1523" w:type="dxa"/>
            <w:vAlign w:val="top"/>
          </w:tcPr>
          <w:p>
            <w:pPr>
              <w:spacing w:before="208"/>
              <w:ind w:left="638"/>
              <w:rPr>
                <w:rFonts w:hint="eastAsia" w:ascii="宋体" w:hAnsi="宋体" w:eastAsia="宋体" w:cs="宋体"/>
                <w:color w:val="auto"/>
                <w:sz w:val="24"/>
                <w:szCs w:val="24"/>
                <w:lang w:val="en-US"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152" w:type="dxa"/>
            <w:vMerge w:val="continue"/>
            <w:tcBorders>
              <w:top w:val="nil"/>
              <w:bottom w:val="nil"/>
            </w:tcBorders>
            <w:vAlign w:val="top"/>
          </w:tcPr>
          <w:p>
            <w:pPr>
              <w:pStyle w:val="23"/>
              <w:rPr>
                <w:color w:val="auto"/>
              </w:rPr>
            </w:pPr>
          </w:p>
        </w:tc>
        <w:tc>
          <w:tcPr>
            <w:tcW w:w="1398" w:type="dxa"/>
            <w:vMerge w:val="continue"/>
            <w:tcBorders>
              <w:top w:val="nil"/>
              <w:bottom w:val="nil"/>
            </w:tcBorders>
            <w:vAlign w:val="top"/>
          </w:tcPr>
          <w:p>
            <w:pPr>
              <w:pStyle w:val="23"/>
              <w:rPr>
                <w:color w:val="auto"/>
              </w:rPr>
            </w:pPr>
          </w:p>
        </w:tc>
        <w:tc>
          <w:tcPr>
            <w:tcW w:w="2138" w:type="dxa"/>
            <w:vAlign w:val="top"/>
          </w:tcPr>
          <w:p>
            <w:pPr>
              <w:spacing w:before="306" w:line="220" w:lineRule="auto"/>
              <w:ind w:left="582"/>
              <w:rPr>
                <w:rFonts w:ascii="宋体" w:hAnsi="宋体" w:eastAsia="宋体" w:cs="宋体"/>
                <w:color w:val="auto"/>
                <w:sz w:val="24"/>
                <w:szCs w:val="24"/>
              </w:rPr>
            </w:pPr>
            <w:r>
              <w:rPr>
                <w:rFonts w:ascii="宋体" w:hAnsi="宋体" w:eastAsia="宋体" w:cs="宋体"/>
                <w:color w:val="auto"/>
                <w:spacing w:val="2"/>
                <w:sz w:val="24"/>
                <w:szCs w:val="24"/>
              </w:rPr>
              <w:t>项目效益</w:t>
            </w:r>
          </w:p>
        </w:tc>
        <w:tc>
          <w:tcPr>
            <w:tcW w:w="1079" w:type="dxa"/>
            <w:vAlign w:val="top"/>
          </w:tcPr>
          <w:p>
            <w:pPr>
              <w:pStyle w:val="23"/>
              <w:spacing w:line="249" w:lineRule="auto"/>
              <w:rPr>
                <w:color w:val="auto"/>
              </w:rPr>
            </w:pPr>
          </w:p>
          <w:p>
            <w:pPr>
              <w:spacing w:before="78"/>
              <w:ind w:left="415"/>
              <w:rPr>
                <w:rFonts w:ascii="宋体" w:hAnsi="宋体" w:eastAsia="宋体" w:cs="宋体"/>
                <w:color w:val="auto"/>
                <w:sz w:val="24"/>
                <w:szCs w:val="24"/>
              </w:rPr>
            </w:pPr>
            <w:r>
              <w:rPr>
                <w:rFonts w:ascii="宋体" w:hAnsi="宋体" w:eastAsia="宋体" w:cs="宋体"/>
                <w:color w:val="auto"/>
                <w:spacing w:val="-7"/>
                <w:sz w:val="24"/>
                <w:szCs w:val="24"/>
              </w:rPr>
              <w:t>15</w:t>
            </w:r>
          </w:p>
        </w:tc>
        <w:tc>
          <w:tcPr>
            <w:tcW w:w="2108" w:type="dxa"/>
            <w:vAlign w:val="top"/>
          </w:tcPr>
          <w:p>
            <w:pPr>
              <w:spacing w:before="155" w:line="241" w:lineRule="auto"/>
              <w:ind w:left="685" w:right="100" w:hanging="599"/>
              <w:jc w:val="center"/>
              <w:rPr>
                <w:rFonts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结案率</w:t>
            </w:r>
          </w:p>
        </w:tc>
        <w:tc>
          <w:tcPr>
            <w:tcW w:w="509" w:type="dxa"/>
            <w:vAlign w:val="top"/>
          </w:tcPr>
          <w:p>
            <w:pPr>
              <w:pStyle w:val="23"/>
              <w:spacing w:line="249" w:lineRule="auto"/>
              <w:rPr>
                <w:color w:val="auto"/>
              </w:rPr>
            </w:pPr>
          </w:p>
          <w:p>
            <w:pPr>
              <w:spacing w:before="78"/>
              <w:ind w:left="128"/>
              <w:rPr>
                <w:rFonts w:ascii="宋体" w:hAnsi="宋体" w:eastAsia="宋体" w:cs="宋体"/>
                <w:color w:val="auto"/>
                <w:sz w:val="24"/>
                <w:szCs w:val="24"/>
              </w:rPr>
            </w:pPr>
            <w:r>
              <w:rPr>
                <w:rFonts w:ascii="宋体" w:hAnsi="宋体" w:eastAsia="宋体" w:cs="宋体"/>
                <w:color w:val="auto"/>
                <w:spacing w:val="-7"/>
                <w:sz w:val="24"/>
                <w:szCs w:val="24"/>
              </w:rPr>
              <w:t>15</w:t>
            </w:r>
          </w:p>
        </w:tc>
        <w:tc>
          <w:tcPr>
            <w:tcW w:w="1523" w:type="dxa"/>
            <w:vAlign w:val="top"/>
          </w:tcPr>
          <w:p>
            <w:pPr>
              <w:pStyle w:val="23"/>
              <w:spacing w:line="249" w:lineRule="auto"/>
              <w:rPr>
                <w:color w:val="auto"/>
              </w:rPr>
            </w:pPr>
          </w:p>
          <w:p>
            <w:pPr>
              <w:spacing w:before="78"/>
              <w:ind w:left="638"/>
              <w:rPr>
                <w:rFonts w:ascii="宋体" w:hAnsi="宋体" w:eastAsia="宋体" w:cs="宋体"/>
                <w:color w:val="auto"/>
                <w:sz w:val="24"/>
                <w:szCs w:val="24"/>
              </w:rPr>
            </w:pPr>
            <w:r>
              <w:rPr>
                <w:rFonts w:ascii="宋体" w:hAnsi="宋体" w:eastAsia="宋体" w:cs="宋体"/>
                <w:color w:val="auto"/>
                <w:spacing w:val="-7"/>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152" w:type="dxa"/>
            <w:vMerge w:val="continue"/>
            <w:tcBorders>
              <w:top w:val="nil"/>
            </w:tcBorders>
            <w:vAlign w:val="top"/>
          </w:tcPr>
          <w:p>
            <w:pPr>
              <w:pStyle w:val="23"/>
              <w:rPr>
                <w:color w:val="auto"/>
              </w:rPr>
            </w:pPr>
          </w:p>
        </w:tc>
        <w:tc>
          <w:tcPr>
            <w:tcW w:w="1398" w:type="dxa"/>
            <w:vMerge w:val="continue"/>
            <w:tcBorders>
              <w:top w:val="nil"/>
            </w:tcBorders>
            <w:vAlign w:val="top"/>
          </w:tcPr>
          <w:p>
            <w:pPr>
              <w:pStyle w:val="23"/>
              <w:rPr>
                <w:color w:val="auto"/>
              </w:rPr>
            </w:pPr>
          </w:p>
        </w:tc>
        <w:tc>
          <w:tcPr>
            <w:tcW w:w="2138" w:type="dxa"/>
            <w:vAlign w:val="top"/>
          </w:tcPr>
          <w:p>
            <w:pPr>
              <w:pStyle w:val="23"/>
              <w:spacing w:line="267" w:lineRule="auto"/>
              <w:rPr>
                <w:color w:val="auto"/>
              </w:rPr>
            </w:pPr>
          </w:p>
          <w:p>
            <w:pPr>
              <w:spacing w:before="78" w:line="219" w:lineRule="auto"/>
              <w:ind w:left="463"/>
              <w:rPr>
                <w:rFonts w:ascii="宋体" w:hAnsi="宋体" w:eastAsia="宋体" w:cs="宋体"/>
                <w:color w:val="auto"/>
                <w:sz w:val="24"/>
                <w:szCs w:val="24"/>
              </w:rPr>
            </w:pPr>
            <w:r>
              <w:rPr>
                <w:rFonts w:ascii="宋体" w:hAnsi="宋体" w:eastAsia="宋体" w:cs="宋体"/>
                <w:color w:val="auto"/>
                <w:spacing w:val="-2"/>
                <w:sz w:val="24"/>
                <w:szCs w:val="24"/>
              </w:rPr>
              <w:t>满意度指标</w:t>
            </w:r>
          </w:p>
        </w:tc>
        <w:tc>
          <w:tcPr>
            <w:tcW w:w="1079" w:type="dxa"/>
            <w:vAlign w:val="top"/>
          </w:tcPr>
          <w:p>
            <w:pPr>
              <w:pStyle w:val="23"/>
              <w:spacing w:line="290" w:lineRule="auto"/>
              <w:rPr>
                <w:color w:val="auto"/>
              </w:rPr>
            </w:pPr>
          </w:p>
          <w:p>
            <w:pPr>
              <w:spacing w:before="78"/>
              <w:ind w:left="415"/>
              <w:rPr>
                <w:rFonts w:hint="eastAsia" w:ascii="宋体" w:hAnsi="宋体" w:eastAsia="宋体" w:cs="宋体"/>
                <w:color w:val="auto"/>
                <w:sz w:val="24"/>
                <w:szCs w:val="24"/>
                <w:lang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c>
          <w:tcPr>
            <w:tcW w:w="2108" w:type="dxa"/>
            <w:vAlign w:val="top"/>
          </w:tcPr>
          <w:p>
            <w:pPr>
              <w:pStyle w:val="23"/>
              <w:spacing w:line="267" w:lineRule="auto"/>
              <w:rPr>
                <w:color w:val="auto"/>
              </w:rPr>
            </w:pPr>
          </w:p>
          <w:p>
            <w:pPr>
              <w:spacing w:before="78" w:line="219" w:lineRule="auto"/>
              <w:ind w:left="325"/>
              <w:rPr>
                <w:rFonts w:ascii="宋体" w:hAnsi="宋体" w:eastAsia="宋体" w:cs="宋体"/>
                <w:color w:val="auto"/>
                <w:sz w:val="24"/>
                <w:szCs w:val="24"/>
              </w:rPr>
            </w:pPr>
            <w:r>
              <w:rPr>
                <w:rFonts w:ascii="宋体" w:hAnsi="宋体" w:eastAsia="宋体" w:cs="宋体"/>
                <w:color w:val="auto"/>
                <w:spacing w:val="2"/>
                <w:sz w:val="24"/>
                <w:szCs w:val="24"/>
              </w:rPr>
              <w:t>使用者满意度</w:t>
            </w:r>
          </w:p>
        </w:tc>
        <w:tc>
          <w:tcPr>
            <w:tcW w:w="509" w:type="dxa"/>
            <w:vAlign w:val="top"/>
          </w:tcPr>
          <w:p>
            <w:pPr>
              <w:pStyle w:val="23"/>
              <w:spacing w:line="290" w:lineRule="auto"/>
              <w:rPr>
                <w:color w:val="auto"/>
              </w:rPr>
            </w:pPr>
          </w:p>
          <w:p>
            <w:pPr>
              <w:spacing w:before="78"/>
              <w:ind w:left="128"/>
              <w:rPr>
                <w:rFonts w:hint="eastAsia" w:ascii="宋体" w:hAnsi="宋体" w:eastAsia="宋体" w:cs="宋体"/>
                <w:color w:val="auto"/>
                <w:sz w:val="24"/>
                <w:szCs w:val="24"/>
                <w:lang w:val="en-US"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c>
          <w:tcPr>
            <w:tcW w:w="1523" w:type="dxa"/>
            <w:vAlign w:val="top"/>
          </w:tcPr>
          <w:p>
            <w:pPr>
              <w:pStyle w:val="23"/>
              <w:spacing w:line="290" w:lineRule="auto"/>
              <w:rPr>
                <w:color w:val="auto"/>
              </w:rPr>
            </w:pPr>
          </w:p>
          <w:p>
            <w:pPr>
              <w:spacing w:before="78"/>
              <w:ind w:left="638"/>
              <w:rPr>
                <w:rFonts w:hint="eastAsia" w:ascii="宋体" w:hAnsi="宋体" w:eastAsia="宋体" w:cs="宋体"/>
                <w:color w:val="auto"/>
                <w:sz w:val="24"/>
                <w:szCs w:val="24"/>
                <w:lang w:val="en-US" w:eastAsia="zh-CN"/>
              </w:rPr>
            </w:pP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52" w:type="dxa"/>
            <w:vAlign w:val="top"/>
          </w:tcPr>
          <w:p>
            <w:pPr>
              <w:spacing w:before="188" w:line="220" w:lineRule="auto"/>
              <w:ind w:left="285"/>
              <w:rPr>
                <w:rFonts w:ascii="宋体" w:hAnsi="宋体" w:eastAsia="宋体" w:cs="宋体"/>
                <w:color w:val="auto"/>
                <w:sz w:val="24"/>
                <w:szCs w:val="24"/>
              </w:rPr>
            </w:pPr>
            <w:r>
              <w:rPr>
                <w:rFonts w:ascii="宋体" w:hAnsi="宋体" w:eastAsia="宋体" w:cs="宋体"/>
                <w:color w:val="auto"/>
                <w:spacing w:val="5"/>
                <w:sz w:val="24"/>
                <w:szCs w:val="24"/>
              </w:rPr>
              <w:t>总分</w:t>
            </w:r>
          </w:p>
        </w:tc>
        <w:tc>
          <w:tcPr>
            <w:tcW w:w="1398" w:type="dxa"/>
            <w:vAlign w:val="top"/>
          </w:tcPr>
          <w:p>
            <w:pPr>
              <w:spacing w:before="211"/>
              <w:ind w:left="511"/>
              <w:rPr>
                <w:rFonts w:ascii="宋体" w:hAnsi="宋体" w:eastAsia="宋体" w:cs="宋体"/>
                <w:color w:val="auto"/>
                <w:sz w:val="24"/>
                <w:szCs w:val="24"/>
              </w:rPr>
            </w:pPr>
            <w:r>
              <w:rPr>
                <w:rFonts w:ascii="宋体" w:hAnsi="宋体" w:eastAsia="宋体" w:cs="宋体"/>
                <w:color w:val="auto"/>
                <w:spacing w:val="-7"/>
                <w:sz w:val="24"/>
                <w:szCs w:val="24"/>
              </w:rPr>
              <w:t>100</w:t>
            </w:r>
          </w:p>
        </w:tc>
        <w:tc>
          <w:tcPr>
            <w:tcW w:w="2138" w:type="dxa"/>
            <w:vAlign w:val="top"/>
          </w:tcPr>
          <w:p>
            <w:pPr>
              <w:pStyle w:val="23"/>
              <w:rPr>
                <w:color w:val="auto"/>
              </w:rPr>
            </w:pPr>
          </w:p>
        </w:tc>
        <w:tc>
          <w:tcPr>
            <w:tcW w:w="1079" w:type="dxa"/>
            <w:vAlign w:val="top"/>
          </w:tcPr>
          <w:p>
            <w:pPr>
              <w:spacing w:before="211"/>
              <w:ind w:left="355"/>
              <w:rPr>
                <w:rFonts w:ascii="宋体" w:hAnsi="宋体" w:eastAsia="宋体" w:cs="宋体"/>
                <w:color w:val="auto"/>
                <w:sz w:val="24"/>
                <w:szCs w:val="24"/>
              </w:rPr>
            </w:pPr>
            <w:r>
              <w:rPr>
                <w:rFonts w:ascii="宋体" w:hAnsi="宋体" w:eastAsia="宋体" w:cs="宋体"/>
                <w:color w:val="auto"/>
                <w:spacing w:val="-7"/>
                <w:sz w:val="24"/>
                <w:szCs w:val="24"/>
              </w:rPr>
              <w:t>100</w:t>
            </w:r>
          </w:p>
        </w:tc>
        <w:tc>
          <w:tcPr>
            <w:tcW w:w="2108" w:type="dxa"/>
            <w:vAlign w:val="top"/>
          </w:tcPr>
          <w:p>
            <w:pPr>
              <w:pStyle w:val="23"/>
              <w:rPr>
                <w:color w:val="auto"/>
              </w:rPr>
            </w:pPr>
          </w:p>
        </w:tc>
        <w:tc>
          <w:tcPr>
            <w:tcW w:w="509" w:type="dxa"/>
            <w:vAlign w:val="top"/>
          </w:tcPr>
          <w:p>
            <w:pPr>
              <w:spacing w:before="211"/>
              <w:ind w:left="68"/>
              <w:rPr>
                <w:rFonts w:ascii="宋体" w:hAnsi="宋体" w:eastAsia="宋体" w:cs="宋体"/>
                <w:color w:val="auto"/>
                <w:sz w:val="24"/>
                <w:szCs w:val="24"/>
              </w:rPr>
            </w:pPr>
            <w:r>
              <w:rPr>
                <w:rFonts w:ascii="宋体" w:hAnsi="宋体" w:eastAsia="宋体" w:cs="宋体"/>
                <w:color w:val="auto"/>
                <w:spacing w:val="-7"/>
                <w:sz w:val="24"/>
                <w:szCs w:val="24"/>
              </w:rPr>
              <w:t>100</w:t>
            </w:r>
          </w:p>
        </w:tc>
        <w:tc>
          <w:tcPr>
            <w:tcW w:w="1523" w:type="dxa"/>
            <w:vAlign w:val="top"/>
          </w:tcPr>
          <w:p>
            <w:pPr>
              <w:spacing w:before="211"/>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5767" w:type="dxa"/>
            <w:gridSpan w:val="4"/>
            <w:vAlign w:val="top"/>
          </w:tcPr>
          <w:p>
            <w:pPr>
              <w:pStyle w:val="23"/>
              <w:spacing w:line="248" w:lineRule="auto"/>
              <w:rPr>
                <w:color w:val="auto"/>
              </w:rPr>
            </w:pPr>
          </w:p>
          <w:p>
            <w:pPr>
              <w:spacing w:before="78" w:line="218" w:lineRule="auto"/>
              <w:ind w:left="2355"/>
              <w:rPr>
                <w:rFonts w:ascii="宋体" w:hAnsi="宋体" w:eastAsia="宋体" w:cs="宋体"/>
                <w:color w:val="auto"/>
                <w:sz w:val="24"/>
                <w:szCs w:val="24"/>
              </w:rPr>
            </w:pPr>
            <w:r>
              <w:rPr>
                <w:rFonts w:ascii="宋体" w:hAnsi="宋体" w:eastAsia="宋体" w:cs="宋体"/>
                <w:color w:val="auto"/>
                <w:spacing w:val="-2"/>
                <w:sz w:val="24"/>
                <w:szCs w:val="24"/>
              </w:rPr>
              <w:t>评价等次</w:t>
            </w:r>
          </w:p>
        </w:tc>
        <w:tc>
          <w:tcPr>
            <w:tcW w:w="4140" w:type="dxa"/>
            <w:gridSpan w:val="3"/>
            <w:vAlign w:val="top"/>
          </w:tcPr>
          <w:p>
            <w:pPr>
              <w:pStyle w:val="23"/>
              <w:spacing w:line="248" w:lineRule="auto"/>
              <w:rPr>
                <w:color w:val="auto"/>
              </w:rPr>
            </w:pPr>
          </w:p>
          <w:p>
            <w:pPr>
              <w:spacing w:before="78" w:line="219" w:lineRule="auto"/>
              <w:ind w:left="1936"/>
              <w:rPr>
                <w:rFonts w:ascii="宋体" w:hAnsi="宋体" w:eastAsia="宋体" w:cs="宋体"/>
                <w:color w:val="auto"/>
                <w:sz w:val="24"/>
                <w:szCs w:val="24"/>
              </w:rPr>
            </w:pPr>
            <w:r>
              <w:rPr>
                <w:rFonts w:ascii="宋体" w:hAnsi="宋体" w:eastAsia="宋体" w:cs="宋体"/>
                <w:color w:val="auto"/>
                <w:sz w:val="24"/>
                <w:szCs w:val="24"/>
              </w:rPr>
              <w:t>优</w:t>
            </w:r>
          </w:p>
        </w:tc>
      </w:tr>
    </w:tbl>
    <w:p>
      <w:pPr>
        <w:pStyle w:val="3"/>
        <w:spacing w:line="171" w:lineRule="exact"/>
        <w:rPr>
          <w:color w:val="auto"/>
          <w:sz w:val="14"/>
        </w:rPr>
      </w:pPr>
    </w:p>
    <w:p>
      <w:pPr>
        <w:spacing w:line="171" w:lineRule="exact"/>
        <w:rPr>
          <w:color w:val="auto"/>
          <w:sz w:val="14"/>
          <w:szCs w:val="14"/>
        </w:rPr>
        <w:sectPr>
          <w:footerReference r:id="rId3" w:type="default"/>
          <w:pgSz w:w="11900" w:h="16830"/>
          <w:pgMar w:top="1384" w:right="924" w:bottom="1127" w:left="1065" w:header="0" w:footer="1001" w:gutter="0"/>
          <w:cols w:equalWidth="0" w:num="1">
            <w:col w:w="9910"/>
          </w:cols>
        </w:sectPr>
      </w:pPr>
    </w:p>
    <w:p>
      <w:pPr>
        <w:spacing w:before="53" w:line="223" w:lineRule="auto"/>
        <w:ind w:left="774"/>
        <w:rPr>
          <w:rFonts w:ascii="仿宋" w:hAnsi="仿宋" w:eastAsia="仿宋" w:cs="仿宋"/>
          <w:color w:val="auto"/>
          <w:sz w:val="26"/>
          <w:szCs w:val="26"/>
        </w:rPr>
      </w:pPr>
      <w:r>
        <w:rPr>
          <w:rFonts w:ascii="仿宋" w:hAnsi="仿宋" w:eastAsia="仿宋" w:cs="仿宋"/>
          <w:color w:val="auto"/>
          <w:spacing w:val="24"/>
          <w:sz w:val="26"/>
          <w:szCs w:val="26"/>
        </w:rPr>
        <w:t>注：绩效等级</w:t>
      </w:r>
    </w:p>
    <w:p>
      <w:pPr>
        <w:spacing w:before="285" w:line="222" w:lineRule="auto"/>
        <w:ind w:left="1324"/>
        <w:rPr>
          <w:rFonts w:ascii="仿宋" w:hAnsi="仿宋" w:eastAsia="仿宋" w:cs="仿宋"/>
          <w:color w:val="auto"/>
          <w:sz w:val="26"/>
          <w:szCs w:val="26"/>
        </w:rPr>
      </w:pPr>
      <w:r>
        <w:rPr>
          <w:rFonts w:ascii="仿宋" w:hAnsi="仿宋" w:eastAsia="仿宋" w:cs="仿宋"/>
          <w:color w:val="auto"/>
          <w:spacing w:val="18"/>
          <w:sz w:val="26"/>
          <w:szCs w:val="26"/>
        </w:rPr>
        <w:t>优≥90分；</w:t>
      </w:r>
    </w:p>
    <w:p>
      <w:pPr>
        <w:spacing w:before="186" w:line="194" w:lineRule="auto"/>
        <w:ind w:left="1354"/>
        <w:rPr>
          <w:rFonts w:ascii="仿宋" w:hAnsi="仿宋" w:eastAsia="仿宋" w:cs="仿宋"/>
          <w:color w:val="auto"/>
          <w:sz w:val="26"/>
          <w:szCs w:val="26"/>
        </w:rPr>
      </w:pPr>
      <w:r>
        <w:rPr>
          <w:rFonts w:ascii="仿宋" w:hAnsi="仿宋" w:eastAsia="仿宋" w:cs="仿宋"/>
          <w:color w:val="auto"/>
          <w:spacing w:val="20"/>
          <w:sz w:val="26"/>
          <w:szCs w:val="26"/>
        </w:rPr>
        <w:t>中≥60分，&lt;80分；</w:t>
      </w:r>
    </w:p>
    <w:p>
      <w:pPr>
        <w:pStyle w:val="3"/>
        <w:spacing w:line="14" w:lineRule="auto"/>
        <w:rPr>
          <w:color w:val="auto"/>
          <w:sz w:val="2"/>
        </w:rPr>
      </w:pPr>
      <w:r>
        <w:rPr>
          <w:color w:val="auto"/>
          <w:sz w:val="2"/>
          <w:szCs w:val="2"/>
        </w:rPr>
        <w:br w:type="column"/>
      </w:r>
    </w:p>
    <w:p>
      <w:pPr>
        <w:pStyle w:val="3"/>
        <w:spacing w:line="282" w:lineRule="auto"/>
        <w:rPr>
          <w:color w:val="auto"/>
        </w:rPr>
      </w:pPr>
    </w:p>
    <w:p>
      <w:pPr>
        <w:pStyle w:val="3"/>
        <w:spacing w:line="282" w:lineRule="auto"/>
        <w:rPr>
          <w:color w:val="auto"/>
        </w:rPr>
      </w:pPr>
    </w:p>
    <w:p>
      <w:pPr>
        <w:spacing w:before="84" w:line="274" w:lineRule="auto"/>
        <w:ind w:left="29" w:right="1835" w:hanging="29"/>
        <w:rPr>
          <w:rFonts w:ascii="仿宋" w:hAnsi="仿宋" w:eastAsia="仿宋" w:cs="仿宋"/>
          <w:color w:val="auto"/>
          <w:sz w:val="26"/>
          <w:szCs w:val="26"/>
        </w:rPr>
      </w:pPr>
      <w:r>
        <w:rPr>
          <w:rFonts w:ascii="仿宋" w:hAnsi="仿宋" w:eastAsia="仿宋" w:cs="仿宋"/>
          <w:color w:val="auto"/>
          <w:spacing w:val="17"/>
          <w:sz w:val="26"/>
          <w:szCs w:val="26"/>
        </w:rPr>
        <w:t>良≥80分，&lt;90分；</w:t>
      </w:r>
      <w:r>
        <w:rPr>
          <w:rFonts w:ascii="仿宋" w:hAnsi="仿宋" w:eastAsia="仿宋" w:cs="仿宋"/>
          <w:color w:val="auto"/>
          <w:spacing w:val="1"/>
          <w:sz w:val="26"/>
          <w:szCs w:val="26"/>
        </w:rPr>
        <w:t xml:space="preserve"> </w:t>
      </w:r>
      <w:r>
        <w:rPr>
          <w:rFonts w:ascii="仿宋" w:hAnsi="仿宋" w:eastAsia="仿宋" w:cs="仿宋"/>
          <w:color w:val="auto"/>
          <w:spacing w:val="8"/>
          <w:sz w:val="26"/>
          <w:szCs w:val="26"/>
        </w:rPr>
        <w:t>差&lt;70;</w:t>
      </w:r>
    </w:p>
    <w:p>
      <w:pPr>
        <w:spacing w:line="274" w:lineRule="auto"/>
        <w:rPr>
          <w:rFonts w:ascii="仿宋" w:hAnsi="仿宋" w:eastAsia="仿宋" w:cs="仿宋"/>
          <w:color w:val="auto"/>
          <w:sz w:val="26"/>
          <w:szCs w:val="26"/>
        </w:rPr>
        <w:sectPr>
          <w:type w:val="continuous"/>
          <w:pgSz w:w="11900" w:h="16830"/>
          <w:pgMar w:top="1384" w:right="924" w:bottom="1127" w:left="1065" w:header="0" w:footer="1001" w:gutter="0"/>
          <w:cols w:equalWidth="0" w:num="2">
            <w:col w:w="5575" w:space="100"/>
            <w:col w:w="4235"/>
          </w:cols>
        </w:sectPr>
      </w:pPr>
    </w:p>
    <w:p>
      <w:pPr>
        <w:spacing w:line="223" w:lineRule="auto"/>
        <w:ind w:left="664"/>
        <w:outlineLvl w:val="2"/>
        <w:rPr>
          <w:rFonts w:ascii="黑体" w:hAnsi="黑体" w:eastAsia="黑体" w:cs="黑体"/>
          <w:color w:val="auto"/>
          <w:sz w:val="31"/>
          <w:szCs w:val="31"/>
        </w:rPr>
      </w:pPr>
      <w:r>
        <w:rPr>
          <w:rFonts w:ascii="黑体" w:hAnsi="黑体" w:eastAsia="黑体" w:cs="黑体"/>
          <w:b/>
          <w:bCs/>
          <w:color w:val="auto"/>
          <w:spacing w:val="5"/>
          <w:sz w:val="31"/>
          <w:szCs w:val="31"/>
        </w:rPr>
        <w:t>一、基本情况</w:t>
      </w:r>
    </w:p>
    <w:p>
      <w:pPr>
        <w:spacing w:before="201" w:line="232" w:lineRule="auto"/>
        <w:ind w:left="814"/>
        <w:outlineLvl w:val="2"/>
        <w:rPr>
          <w:rFonts w:ascii="楷体" w:hAnsi="楷体" w:eastAsia="楷体" w:cs="楷体"/>
          <w:color w:val="auto"/>
          <w:sz w:val="31"/>
          <w:szCs w:val="31"/>
        </w:rPr>
      </w:pPr>
      <w:r>
        <w:rPr>
          <w:rFonts w:ascii="楷体" w:hAnsi="楷体" w:eastAsia="楷体" w:cs="楷体"/>
          <w:b/>
          <w:bCs/>
          <w:color w:val="auto"/>
          <w:spacing w:val="14"/>
          <w:sz w:val="31"/>
          <w:szCs w:val="31"/>
        </w:rPr>
        <w:t>(</w:t>
      </w:r>
      <w:r>
        <w:rPr>
          <w:rFonts w:ascii="楷体" w:hAnsi="楷体" w:eastAsia="楷体" w:cs="楷体"/>
          <w:color w:val="auto"/>
          <w:spacing w:val="-79"/>
          <w:sz w:val="31"/>
          <w:szCs w:val="31"/>
        </w:rPr>
        <w:t xml:space="preserve"> </w:t>
      </w:r>
      <w:r>
        <w:rPr>
          <w:rFonts w:ascii="楷体" w:hAnsi="楷体" w:eastAsia="楷体" w:cs="楷体"/>
          <w:b/>
          <w:bCs/>
          <w:color w:val="auto"/>
          <w:spacing w:val="14"/>
          <w:sz w:val="31"/>
          <w:szCs w:val="31"/>
        </w:rPr>
        <w:t>一</w:t>
      </w:r>
      <w:r>
        <w:rPr>
          <w:rFonts w:ascii="楷体" w:hAnsi="楷体" w:eastAsia="楷体" w:cs="楷体"/>
          <w:color w:val="auto"/>
          <w:spacing w:val="-93"/>
          <w:sz w:val="31"/>
          <w:szCs w:val="31"/>
        </w:rPr>
        <w:t xml:space="preserve"> </w:t>
      </w:r>
      <w:r>
        <w:rPr>
          <w:rFonts w:ascii="楷体" w:hAnsi="楷体" w:eastAsia="楷体" w:cs="楷体"/>
          <w:b/>
          <w:bCs/>
          <w:color w:val="auto"/>
          <w:spacing w:val="14"/>
          <w:sz w:val="31"/>
          <w:szCs w:val="31"/>
        </w:rPr>
        <w:t>)项目概况</w:t>
      </w:r>
    </w:p>
    <w:p>
      <w:pPr>
        <w:spacing w:before="186" w:line="222" w:lineRule="auto"/>
        <w:ind w:left="65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5"/>
          <w:sz w:val="32"/>
          <w:szCs w:val="32"/>
        </w:rPr>
        <w:t>1.立项背景</w:t>
      </w:r>
    </w:p>
    <w:p>
      <w:pPr>
        <w:spacing w:before="228" w:line="349" w:lineRule="auto"/>
        <w:ind w:firstLine="65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lang w:val="en-US" w:eastAsia="zh-CN"/>
        </w:rPr>
        <w:t>响应国家“全面依法治国”战略及最高人民法院“智慧法院”建设部署，以及强化党对司法工作的领导背景下，为应对</w:t>
      </w:r>
      <w:r>
        <w:rPr>
          <w:rFonts w:hint="eastAsia" w:ascii="仿宋_GB2312" w:hAnsi="仿宋_GB2312" w:eastAsia="仿宋_GB2312" w:cs="仿宋_GB2312"/>
          <w:color w:val="auto"/>
          <w:spacing w:val="14"/>
          <w:sz w:val="32"/>
          <w:szCs w:val="32"/>
        </w:rPr>
        <w:t>基层法院普遍面临案件量持续攀升的困境，</w:t>
      </w:r>
      <w:r>
        <w:rPr>
          <w:rFonts w:hint="eastAsia" w:ascii="仿宋_GB2312" w:hAnsi="仿宋_GB2312" w:eastAsia="仿宋_GB2312" w:cs="仿宋_GB2312"/>
          <w:color w:val="auto"/>
          <w:spacing w:val="14"/>
          <w:sz w:val="32"/>
          <w:szCs w:val="32"/>
          <w:lang w:val="en-US" w:eastAsia="zh-CN"/>
        </w:rPr>
        <w:t>亟待</w:t>
      </w:r>
      <w:r>
        <w:rPr>
          <w:rFonts w:hint="eastAsia" w:ascii="仿宋_GB2312" w:hAnsi="仿宋_GB2312" w:eastAsia="仿宋_GB2312" w:cs="仿宋_GB2312"/>
          <w:color w:val="auto"/>
          <w:spacing w:val="14"/>
          <w:sz w:val="32"/>
          <w:szCs w:val="32"/>
        </w:rPr>
        <w:t>通过专项改革优化流程</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lang w:val="en-US" w:eastAsia="zh-CN"/>
        </w:rPr>
        <w:t>改进</w:t>
      </w:r>
      <w:r>
        <w:rPr>
          <w:rFonts w:hint="eastAsia" w:ascii="仿宋_GB2312" w:hAnsi="仿宋_GB2312" w:eastAsia="仿宋_GB2312" w:cs="仿宋_GB2312"/>
          <w:color w:val="auto"/>
          <w:spacing w:val="14"/>
          <w:sz w:val="32"/>
          <w:szCs w:val="32"/>
        </w:rPr>
        <w:t>传统办案模式，</w:t>
      </w:r>
      <w:r>
        <w:rPr>
          <w:rFonts w:hint="eastAsia" w:ascii="仿宋_GB2312" w:hAnsi="仿宋_GB2312" w:eastAsia="仿宋_GB2312" w:cs="仿宋_GB2312"/>
          <w:color w:val="auto"/>
          <w:spacing w:val="14"/>
          <w:sz w:val="32"/>
          <w:szCs w:val="32"/>
          <w:lang w:val="en-US" w:eastAsia="zh-CN"/>
        </w:rPr>
        <w:t>以满足</w:t>
      </w:r>
      <w:r>
        <w:rPr>
          <w:rFonts w:hint="eastAsia" w:ascii="仿宋_GB2312" w:hAnsi="仿宋_GB2312" w:eastAsia="仿宋_GB2312" w:cs="仿宋_GB2312"/>
          <w:color w:val="auto"/>
          <w:spacing w:val="14"/>
          <w:sz w:val="32"/>
          <w:szCs w:val="32"/>
        </w:rPr>
        <w:t>公众对司法公正、效率及透明度</w:t>
      </w:r>
      <w:r>
        <w:rPr>
          <w:rFonts w:hint="eastAsia" w:ascii="仿宋_GB2312" w:hAnsi="仿宋_GB2312" w:eastAsia="仿宋_GB2312" w:cs="仿宋_GB2312"/>
          <w:color w:val="auto"/>
          <w:spacing w:val="14"/>
          <w:sz w:val="32"/>
          <w:szCs w:val="32"/>
          <w:lang w:val="en-US" w:eastAsia="zh-CN"/>
        </w:rPr>
        <w:t>的期待要求。</w:t>
      </w:r>
    </w:p>
    <w:p>
      <w:pPr>
        <w:spacing w:line="222" w:lineRule="auto"/>
        <w:ind w:left="65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2.主要内容及实施情况</w:t>
      </w:r>
    </w:p>
    <w:p>
      <w:pPr>
        <w:spacing w:before="197" w:line="222" w:lineRule="auto"/>
        <w:ind w:left="789"/>
        <w:rPr>
          <w:rFonts w:hint="eastAsia" w:ascii="仿宋_GB2312" w:hAnsi="仿宋_GB2312" w:eastAsia="仿宋_GB2312" w:cs="仿宋_GB2312"/>
          <w:color w:val="auto"/>
          <w:spacing w:val="27"/>
          <w:sz w:val="32"/>
          <w:szCs w:val="32"/>
        </w:rPr>
      </w:pPr>
      <w:r>
        <w:rPr>
          <w:rFonts w:hint="eastAsia" w:ascii="仿宋_GB2312" w:hAnsi="仿宋_GB2312" w:eastAsia="仿宋_GB2312" w:cs="仿宋_GB2312"/>
          <w:color w:val="auto"/>
          <w:spacing w:val="27"/>
          <w:sz w:val="32"/>
          <w:szCs w:val="32"/>
        </w:rPr>
        <w:t>(1)项目主要内容</w:t>
      </w:r>
    </w:p>
    <w:p>
      <w:pPr>
        <w:spacing w:before="186" w:line="339" w:lineRule="auto"/>
        <w:ind w:firstLine="668"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案件审判项目属于经常性项目，依照宪法及组织法的有关规定，我院依法审判法律规定由基层人民法庭管辖的第一审案件，依法审判三亚市中级人民法院交办或指令的刑事、民事等案件。随着我省社会经济文化的发展，人民的法律意识的不断提高，人口的增长，我院案件量显著增加，办案成本也逐年增加，因此，与案件审判直接相关的支出也应逐年提高。</w:t>
      </w:r>
    </w:p>
    <w:p>
      <w:pPr>
        <w:spacing w:before="5" w:line="222" w:lineRule="auto"/>
        <w:ind w:left="83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8"/>
          <w:sz w:val="32"/>
          <w:szCs w:val="32"/>
        </w:rPr>
        <w:t>(2)项目实施情况</w:t>
      </w:r>
    </w:p>
    <w:p>
      <w:pPr>
        <w:spacing w:before="196" w:line="339" w:lineRule="auto"/>
        <w:ind w:left="54" w:right="6" w:firstLine="64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1"/>
          <w:sz w:val="32"/>
          <w:szCs w:val="32"/>
        </w:rPr>
        <w:t>2024年</w:t>
      </w:r>
      <w:r>
        <w:rPr>
          <w:rFonts w:hint="eastAsia" w:ascii="仿宋_GB2312" w:hAnsi="仿宋_GB2312" w:eastAsia="仿宋_GB2312" w:cs="仿宋_GB2312"/>
          <w:color w:val="auto"/>
          <w:spacing w:val="21"/>
          <w:sz w:val="32"/>
          <w:szCs w:val="32"/>
          <w:lang w:val="en-US" w:eastAsia="zh-CN"/>
        </w:rPr>
        <w:t>我院基本</w:t>
      </w:r>
      <w:r>
        <w:rPr>
          <w:rFonts w:hint="eastAsia" w:ascii="仿宋_GB2312" w:hAnsi="仿宋_GB2312" w:eastAsia="仿宋_GB2312" w:cs="仿宋_GB2312"/>
          <w:color w:val="auto"/>
          <w:spacing w:val="21"/>
          <w:sz w:val="32"/>
          <w:szCs w:val="32"/>
        </w:rPr>
        <w:t>按照</w:t>
      </w:r>
      <w:r>
        <w:rPr>
          <w:rFonts w:hint="eastAsia" w:ascii="仿宋_GB2312" w:hAnsi="仿宋_GB2312" w:eastAsia="仿宋_GB2312" w:cs="仿宋_GB2312"/>
          <w:color w:val="auto"/>
          <w:spacing w:val="21"/>
          <w:sz w:val="32"/>
          <w:szCs w:val="32"/>
          <w:lang w:eastAsia="zh-CN"/>
        </w:rPr>
        <w:t>执法办案</w:t>
      </w:r>
      <w:r>
        <w:rPr>
          <w:rFonts w:hint="eastAsia" w:ascii="仿宋_GB2312" w:hAnsi="仿宋_GB2312" w:eastAsia="仿宋_GB2312" w:cs="仿宋_GB2312"/>
          <w:color w:val="auto"/>
          <w:spacing w:val="21"/>
          <w:sz w:val="32"/>
          <w:szCs w:val="32"/>
        </w:rPr>
        <w:t>项目</w:t>
      </w:r>
      <w:r>
        <w:rPr>
          <w:rFonts w:hint="eastAsia" w:ascii="仿宋_GB2312" w:hAnsi="仿宋_GB2312" w:eastAsia="仿宋_GB2312" w:cs="仿宋_GB2312"/>
          <w:color w:val="auto"/>
          <w:spacing w:val="21"/>
          <w:sz w:val="32"/>
          <w:szCs w:val="32"/>
          <w:lang w:val="en-US" w:eastAsia="zh-CN"/>
        </w:rPr>
        <w:t>规定</w:t>
      </w:r>
      <w:r>
        <w:rPr>
          <w:rFonts w:hint="eastAsia" w:ascii="仿宋_GB2312" w:hAnsi="仿宋_GB2312" w:eastAsia="仿宋_GB2312" w:cs="仿宋_GB2312"/>
          <w:color w:val="auto"/>
          <w:spacing w:val="21"/>
          <w:sz w:val="32"/>
          <w:szCs w:val="32"/>
        </w:rPr>
        <w:t>的使用</w:t>
      </w:r>
      <w:r>
        <w:rPr>
          <w:rFonts w:hint="eastAsia" w:ascii="仿宋_GB2312" w:hAnsi="仿宋_GB2312" w:eastAsia="仿宋_GB2312" w:cs="仿宋_GB2312"/>
          <w:color w:val="auto"/>
          <w:spacing w:val="34"/>
          <w:sz w:val="32"/>
          <w:szCs w:val="32"/>
        </w:rPr>
        <w:t>范围</w:t>
      </w:r>
      <w:r>
        <w:rPr>
          <w:rFonts w:hint="eastAsia" w:ascii="仿宋_GB2312" w:hAnsi="仿宋_GB2312" w:eastAsia="仿宋_GB2312" w:cs="仿宋_GB2312"/>
          <w:color w:val="auto"/>
          <w:spacing w:val="34"/>
          <w:sz w:val="32"/>
          <w:szCs w:val="32"/>
          <w:lang w:val="en-US" w:eastAsia="zh-CN"/>
        </w:rPr>
        <w:t>实施，</w:t>
      </w:r>
      <w:r>
        <w:rPr>
          <w:rFonts w:hint="eastAsia" w:ascii="仿宋_GB2312" w:hAnsi="仿宋_GB2312" w:eastAsia="仿宋_GB2312" w:cs="仿宋_GB2312"/>
          <w:color w:val="auto"/>
          <w:spacing w:val="14"/>
          <w:sz w:val="32"/>
          <w:szCs w:val="32"/>
        </w:rPr>
        <w:t>主要</w:t>
      </w:r>
      <w:r>
        <w:rPr>
          <w:rFonts w:hint="eastAsia" w:ascii="仿宋_GB2312" w:hAnsi="仿宋_GB2312" w:eastAsia="仿宋_GB2312" w:cs="仿宋_GB2312"/>
          <w:color w:val="auto"/>
          <w:spacing w:val="14"/>
          <w:sz w:val="32"/>
          <w:szCs w:val="32"/>
          <w:lang w:val="en-US" w:eastAsia="zh-CN"/>
        </w:rPr>
        <w:t>内容为：与相关案件的差旅费、办案印刷费、网络租赁费等</w:t>
      </w:r>
      <w:r>
        <w:rPr>
          <w:rFonts w:hint="eastAsia" w:ascii="仿宋_GB2312" w:hAnsi="仿宋_GB2312" w:eastAsia="仿宋_GB2312" w:cs="仿宋_GB2312"/>
          <w:color w:val="auto"/>
          <w:spacing w:val="9"/>
          <w:sz w:val="32"/>
          <w:szCs w:val="32"/>
        </w:rPr>
        <w:t>，保障了审</w:t>
      </w:r>
      <w:r>
        <w:rPr>
          <w:rFonts w:hint="eastAsia" w:ascii="仿宋_GB2312" w:hAnsi="仿宋_GB2312" w:eastAsia="仿宋_GB2312" w:cs="仿宋_GB2312"/>
          <w:color w:val="auto"/>
          <w:spacing w:val="1"/>
          <w:sz w:val="32"/>
          <w:szCs w:val="32"/>
        </w:rPr>
        <w:t>判</w:t>
      </w:r>
      <w:r>
        <w:rPr>
          <w:rFonts w:hint="eastAsia" w:ascii="仿宋_GB2312" w:hAnsi="仿宋_GB2312" w:eastAsia="仿宋_GB2312" w:cs="仿宋_GB2312"/>
          <w:color w:val="auto"/>
          <w:spacing w:val="1"/>
          <w:sz w:val="32"/>
          <w:szCs w:val="32"/>
          <w:lang w:val="en-US" w:eastAsia="zh-CN"/>
        </w:rPr>
        <w:t>执行</w:t>
      </w:r>
      <w:r>
        <w:rPr>
          <w:rFonts w:hint="eastAsia" w:ascii="仿宋_GB2312" w:hAnsi="仿宋_GB2312" w:eastAsia="仿宋_GB2312" w:cs="仿宋_GB2312"/>
          <w:color w:val="auto"/>
          <w:spacing w:val="1"/>
          <w:sz w:val="32"/>
          <w:szCs w:val="32"/>
        </w:rPr>
        <w:t>工作的正常开展。</w:t>
      </w:r>
    </w:p>
    <w:p>
      <w:pPr>
        <w:spacing w:before="35" w:line="222" w:lineRule="auto"/>
        <w:ind w:left="70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rPr>
        <w:t>3.资金投入和使用情况</w:t>
      </w:r>
    </w:p>
    <w:p>
      <w:pPr>
        <w:spacing w:before="195" w:line="339" w:lineRule="auto"/>
        <w:ind w:left="54" w:right="80" w:firstLine="64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7"/>
          <w:sz w:val="32"/>
          <w:szCs w:val="32"/>
        </w:rPr>
        <w:t>2024年项目投入资金总额为</w:t>
      </w:r>
      <w:r>
        <w:rPr>
          <w:rFonts w:hint="eastAsia" w:ascii="仿宋_GB2312" w:hAnsi="仿宋_GB2312" w:eastAsia="仿宋_GB2312" w:cs="仿宋_GB2312"/>
          <w:color w:val="auto"/>
          <w:spacing w:val="15"/>
          <w:sz w:val="32"/>
          <w:szCs w:val="32"/>
          <w:lang w:val="en-US" w:eastAsia="zh-CN"/>
        </w:rPr>
        <w:t>1,365.56</w:t>
      </w:r>
      <w:r>
        <w:rPr>
          <w:rFonts w:hint="eastAsia" w:ascii="仿宋_GB2312" w:hAnsi="仿宋_GB2312" w:eastAsia="仿宋_GB2312" w:cs="仿宋_GB2312"/>
          <w:color w:val="auto"/>
          <w:spacing w:val="17"/>
          <w:sz w:val="32"/>
          <w:szCs w:val="32"/>
        </w:rPr>
        <w:t>万元，</w:t>
      </w:r>
      <w:r>
        <w:rPr>
          <w:rFonts w:hint="eastAsia" w:ascii="仿宋_GB2312" w:hAnsi="仿宋_GB2312" w:eastAsia="仿宋_GB2312" w:cs="仿宋_GB2312"/>
          <w:color w:val="auto"/>
          <w:spacing w:val="17"/>
          <w:sz w:val="32"/>
          <w:szCs w:val="32"/>
          <w:lang w:val="en-US" w:eastAsia="zh-CN"/>
        </w:rPr>
        <w:t>投入资金占预算数的比例为100%；2024年</w:t>
      </w:r>
      <w:r>
        <w:rPr>
          <w:rFonts w:hint="eastAsia" w:ascii="仿宋_GB2312" w:hAnsi="仿宋_GB2312" w:eastAsia="仿宋_GB2312" w:cs="仿宋_GB2312"/>
          <w:color w:val="auto"/>
          <w:spacing w:val="17"/>
          <w:sz w:val="32"/>
          <w:szCs w:val="32"/>
        </w:rPr>
        <w:t>实际使用资</w:t>
      </w:r>
      <w:r>
        <w:rPr>
          <w:rFonts w:hint="eastAsia" w:ascii="仿宋_GB2312" w:hAnsi="仿宋_GB2312" w:eastAsia="仿宋_GB2312" w:cs="仿宋_GB2312"/>
          <w:color w:val="auto"/>
          <w:spacing w:val="16"/>
          <w:sz w:val="32"/>
          <w:szCs w:val="32"/>
        </w:rPr>
        <w:t>金</w:t>
      </w:r>
      <w:r>
        <w:rPr>
          <w:rFonts w:hint="eastAsia" w:ascii="仿宋_GB2312" w:hAnsi="仿宋_GB2312" w:eastAsia="仿宋_GB2312" w:cs="仿宋_GB2312"/>
          <w:color w:val="auto"/>
          <w:spacing w:val="15"/>
          <w:sz w:val="32"/>
          <w:szCs w:val="32"/>
          <w:lang w:val="en-US" w:eastAsia="zh-CN"/>
        </w:rPr>
        <w:t>1,365.56</w:t>
      </w:r>
      <w:r>
        <w:rPr>
          <w:rFonts w:hint="eastAsia" w:ascii="仿宋_GB2312" w:hAnsi="仿宋_GB2312" w:eastAsia="仿宋_GB2312" w:cs="仿宋_GB2312"/>
          <w:color w:val="auto"/>
          <w:spacing w:val="16"/>
          <w:sz w:val="32"/>
          <w:szCs w:val="32"/>
        </w:rPr>
        <w:t>万元，已使用资金占</w:t>
      </w:r>
      <w:r>
        <w:rPr>
          <w:rFonts w:hint="eastAsia" w:ascii="仿宋_GB2312" w:hAnsi="仿宋_GB2312" w:eastAsia="仿宋_GB2312" w:cs="仿宋_GB2312"/>
          <w:color w:val="auto"/>
          <w:spacing w:val="16"/>
          <w:sz w:val="32"/>
          <w:szCs w:val="32"/>
          <w:lang w:val="en-US" w:eastAsia="zh-CN"/>
        </w:rPr>
        <w:t>已</w:t>
      </w:r>
      <w:r>
        <w:rPr>
          <w:rFonts w:hint="eastAsia" w:ascii="仿宋_GB2312" w:hAnsi="仿宋_GB2312" w:eastAsia="仿宋_GB2312" w:cs="仿宋_GB2312"/>
          <w:color w:val="auto"/>
          <w:spacing w:val="16"/>
          <w:sz w:val="32"/>
          <w:szCs w:val="32"/>
        </w:rPr>
        <w:t>到位资金的比例为</w:t>
      </w:r>
      <w:r>
        <w:rPr>
          <w:rFonts w:hint="eastAsia" w:ascii="仿宋_GB2312" w:hAnsi="仿宋_GB2312" w:eastAsia="仿宋_GB2312" w:cs="仿宋_GB2312"/>
          <w:color w:val="auto"/>
          <w:spacing w:val="16"/>
          <w:sz w:val="32"/>
          <w:szCs w:val="32"/>
          <w:lang w:val="en-US" w:eastAsia="zh-CN"/>
        </w:rPr>
        <w:t>100</w:t>
      </w:r>
      <w:r>
        <w:rPr>
          <w:rFonts w:hint="eastAsia" w:ascii="仿宋_GB2312" w:hAnsi="仿宋_GB2312" w:eastAsia="仿宋_GB2312" w:cs="仿宋_GB2312"/>
          <w:color w:val="auto"/>
          <w:spacing w:val="16"/>
          <w:sz w:val="32"/>
          <w:szCs w:val="32"/>
        </w:rPr>
        <w:t>%。</w:t>
      </w:r>
    </w:p>
    <w:p>
      <w:pPr>
        <w:spacing w:before="1" w:line="226" w:lineRule="auto"/>
        <w:ind w:left="839"/>
        <w:outlineLvl w:val="2"/>
        <w:rPr>
          <w:rFonts w:ascii="楷体" w:hAnsi="楷体" w:eastAsia="楷体" w:cs="楷体"/>
          <w:color w:val="auto"/>
          <w:sz w:val="31"/>
          <w:szCs w:val="31"/>
        </w:rPr>
      </w:pPr>
      <w:r>
        <w:rPr>
          <w:rFonts w:ascii="楷体" w:hAnsi="楷体" w:eastAsia="楷体" w:cs="楷体"/>
          <w:b/>
          <w:bCs/>
          <w:color w:val="auto"/>
          <w:spacing w:val="26"/>
          <w:sz w:val="31"/>
          <w:szCs w:val="31"/>
        </w:rPr>
        <w:t>(二)项目绩效目标</w:t>
      </w:r>
    </w:p>
    <w:p>
      <w:pPr>
        <w:spacing w:before="193" w:line="222" w:lineRule="auto"/>
        <w:ind w:left="70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1.项目绩效总目标</w:t>
      </w:r>
    </w:p>
    <w:p>
      <w:pPr>
        <w:spacing w:before="195" w:line="339" w:lineRule="auto"/>
        <w:ind w:left="54" w:right="80" w:firstLine="649"/>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为法院审判执行工作提供良好资金保障。</w:t>
      </w:r>
    </w:p>
    <w:p>
      <w:pPr>
        <w:spacing w:line="222" w:lineRule="auto"/>
        <w:ind w:left="70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2.项目年度绩效目标</w:t>
      </w:r>
    </w:p>
    <w:p>
      <w:pPr>
        <w:spacing w:before="195" w:line="339" w:lineRule="auto"/>
        <w:ind w:left="54" w:right="80" w:firstLine="649"/>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（1）案卷扫描页数≥1250000张，确保阅卷完整性与准确性，提升阅卷效率与准确性，强化司法监督与管理；</w:t>
      </w:r>
    </w:p>
    <w:p>
      <w:pPr>
        <w:keepNext w:val="0"/>
        <w:keepLines w:val="0"/>
        <w:pageBreakBefore w:val="0"/>
        <w:widowControl/>
        <w:kinsoku w:val="0"/>
        <w:wordWrap/>
        <w:overflowPunct/>
        <w:topLinePunct w:val="0"/>
        <w:autoSpaceDE w:val="0"/>
        <w:autoSpaceDN w:val="0"/>
        <w:bidi w:val="0"/>
        <w:adjustRightInd w:val="0"/>
        <w:snapToGrid w:val="0"/>
        <w:spacing w:line="339" w:lineRule="auto"/>
        <w:ind w:left="57" w:right="79" w:firstLine="646"/>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（2）</w:t>
      </w:r>
      <w:r>
        <w:rPr>
          <w:rFonts w:hint="eastAsia" w:ascii="仿宋_GB2312" w:hAnsi="仿宋_GB2312" w:eastAsia="仿宋_GB2312" w:cs="仿宋_GB2312"/>
          <w:color w:val="auto"/>
          <w:spacing w:val="17"/>
          <w:sz w:val="32"/>
          <w:szCs w:val="32"/>
          <w:lang w:val="en-US" w:eastAsia="zh-CN"/>
        </w:rPr>
        <w:t>陪审员补助支持案件数≥5000件</w:t>
      </w:r>
      <w:r>
        <w:rPr>
          <w:rFonts w:hint="eastAsia" w:ascii="仿宋_GB2312" w:hAnsi="仿宋_GB2312" w:eastAsia="仿宋_GB2312" w:cs="仿宋_GB2312"/>
          <w:color w:val="auto"/>
          <w:spacing w:val="17"/>
          <w:sz w:val="32"/>
          <w:szCs w:val="32"/>
        </w:rPr>
        <w:t>，保障陪审员权益，激发参审积极性，促进司法公正；</w:t>
      </w:r>
    </w:p>
    <w:p>
      <w:pPr>
        <w:keepNext w:val="0"/>
        <w:keepLines w:val="0"/>
        <w:pageBreakBefore w:val="0"/>
        <w:widowControl/>
        <w:kinsoku w:val="0"/>
        <w:wordWrap/>
        <w:overflowPunct/>
        <w:topLinePunct w:val="0"/>
        <w:autoSpaceDE w:val="0"/>
        <w:autoSpaceDN w:val="0"/>
        <w:bidi w:val="0"/>
        <w:adjustRightInd w:val="0"/>
        <w:snapToGrid w:val="0"/>
        <w:spacing w:line="339" w:lineRule="auto"/>
        <w:ind w:left="57" w:right="79" w:firstLine="646"/>
        <w:textAlignment w:val="baseline"/>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（3）结案率≥80%，进一步提高司法效率，保障当事人权益。</w:t>
      </w:r>
    </w:p>
    <w:p>
      <w:pPr>
        <w:spacing w:before="1" w:line="220" w:lineRule="auto"/>
        <w:ind w:left="709"/>
        <w:outlineLvl w:val="2"/>
        <w:rPr>
          <w:rFonts w:ascii="黑体" w:hAnsi="黑体" w:eastAsia="黑体" w:cs="黑体"/>
          <w:color w:val="auto"/>
          <w:sz w:val="31"/>
          <w:szCs w:val="31"/>
        </w:rPr>
      </w:pPr>
      <w:r>
        <w:rPr>
          <w:rFonts w:ascii="黑体" w:hAnsi="黑体" w:eastAsia="黑体" w:cs="黑体"/>
          <w:b/>
          <w:bCs/>
          <w:color w:val="auto"/>
          <w:spacing w:val="5"/>
          <w:sz w:val="31"/>
          <w:szCs w:val="31"/>
        </w:rPr>
        <w:t>二、绩效评价工作开展情况</w:t>
      </w:r>
    </w:p>
    <w:p>
      <w:pPr>
        <w:spacing w:before="214" w:line="223" w:lineRule="auto"/>
        <w:ind w:left="839"/>
        <w:outlineLvl w:val="2"/>
        <w:rPr>
          <w:rFonts w:ascii="楷体" w:hAnsi="楷体" w:eastAsia="楷体" w:cs="楷体"/>
          <w:color w:val="auto"/>
          <w:sz w:val="31"/>
          <w:szCs w:val="31"/>
        </w:rPr>
      </w:pPr>
      <w:r>
        <w:rPr>
          <w:rFonts w:ascii="楷体" w:hAnsi="楷体" w:eastAsia="楷体" w:cs="楷体"/>
          <w:b/>
          <w:bCs/>
          <w:color w:val="auto"/>
          <w:spacing w:val="20"/>
          <w:sz w:val="31"/>
          <w:szCs w:val="31"/>
        </w:rPr>
        <w:t>(一)绩效评价目的、对象和范围</w:t>
      </w:r>
    </w:p>
    <w:p>
      <w:pPr>
        <w:spacing w:before="206" w:line="222" w:lineRule="auto"/>
        <w:ind w:left="704"/>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rPr>
        <w:t>1.绩效评价</w:t>
      </w:r>
      <w:r>
        <w:rPr>
          <w:rFonts w:hint="eastAsia" w:ascii="仿宋_GB2312" w:hAnsi="仿宋_GB2312" w:eastAsia="仿宋_GB2312" w:cs="仿宋_GB2312"/>
          <w:color w:val="auto"/>
          <w:spacing w:val="6"/>
          <w:sz w:val="32"/>
          <w:szCs w:val="32"/>
          <w:lang w:val="en-US" w:eastAsia="zh-CN"/>
        </w:rPr>
        <w:t>目的</w:t>
      </w:r>
    </w:p>
    <w:p>
      <w:pPr>
        <w:spacing w:before="148" w:line="334" w:lineRule="auto"/>
        <w:ind w:right="49" w:firstLine="63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sz w:val="32"/>
          <w:szCs w:val="32"/>
        </w:rPr>
        <w:t>根据相关文件要求，结合评价项目的情况和特点，制定项目绩效评价指标体系，运用科学、规范的绩效评价方法，科学、客观、公正的对运行资金进行整体综合性评价，评价项目运行资金的使用情况和取得的效果，发现项目管理存在的问题，总结经验，提出改进意见和建议。通过绩效评价，完善制度、创新机制、加强管理、强化监督，以保证项目资金使用管理的规范性、安全性和有效性；在资金管理中引入绩效管理理念和方式，更好地发挥其政策扶持、引导作用，提高财政资金使用效益和社会效益；为指导预算编制、申报绩效目标、优化财政支出结构，提高公共服务水平提供决策依据。</w:t>
      </w:r>
    </w:p>
    <w:p>
      <w:pPr>
        <w:spacing w:before="67" w:line="222" w:lineRule="auto"/>
        <w:ind w:left="64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2.绩效评价的对象和范围</w:t>
      </w:r>
    </w:p>
    <w:p>
      <w:pPr>
        <w:keepNext w:val="0"/>
        <w:keepLines w:val="0"/>
        <w:pageBreakBefore w:val="0"/>
        <w:widowControl/>
        <w:kinsoku w:val="0"/>
        <w:wordWrap/>
        <w:overflowPunct/>
        <w:topLinePunct w:val="0"/>
        <w:autoSpaceDE w:val="0"/>
        <w:autoSpaceDN w:val="0"/>
        <w:bidi w:val="0"/>
        <w:adjustRightInd w:val="0"/>
        <w:snapToGrid w:val="0"/>
        <w:spacing w:before="148" w:line="334" w:lineRule="auto"/>
        <w:ind w:right="51" w:firstLine="636" w:firstLineChars="200"/>
        <w:textAlignment w:val="baseline"/>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2024年预算安排的项目经费的投入使用情况以及项目实施效果等。</w:t>
      </w:r>
    </w:p>
    <w:p>
      <w:pPr>
        <w:keepNext w:val="0"/>
        <w:keepLines w:val="0"/>
        <w:pageBreakBefore w:val="0"/>
        <w:widowControl/>
        <w:kinsoku w:val="0"/>
        <w:wordWrap/>
        <w:overflowPunct/>
        <w:topLinePunct w:val="0"/>
        <w:autoSpaceDE w:val="0"/>
        <w:autoSpaceDN w:val="0"/>
        <w:bidi w:val="0"/>
        <w:adjustRightInd w:val="0"/>
        <w:snapToGrid w:val="0"/>
        <w:spacing w:line="224" w:lineRule="auto"/>
        <w:ind w:left="839"/>
        <w:textAlignment w:val="baseline"/>
        <w:outlineLvl w:val="2"/>
        <w:rPr>
          <w:rFonts w:ascii="楷体" w:hAnsi="楷体" w:eastAsia="楷体" w:cs="楷体"/>
          <w:b/>
          <w:bCs/>
          <w:color w:val="auto"/>
          <w:spacing w:val="20"/>
          <w:sz w:val="31"/>
          <w:szCs w:val="31"/>
        </w:rPr>
      </w:pPr>
      <w:r>
        <w:rPr>
          <w:rFonts w:ascii="楷体" w:hAnsi="楷体" w:eastAsia="楷体" w:cs="楷体"/>
          <w:b/>
          <w:bCs/>
          <w:color w:val="auto"/>
          <w:spacing w:val="20"/>
          <w:sz w:val="31"/>
          <w:szCs w:val="31"/>
        </w:rPr>
        <w:t>(二)绩效评价原则、评价指标体系、评价方法、评</w:t>
      </w:r>
    </w:p>
    <w:p>
      <w:pPr>
        <w:keepNext w:val="0"/>
        <w:keepLines w:val="0"/>
        <w:pageBreakBefore w:val="0"/>
        <w:widowControl/>
        <w:kinsoku w:val="0"/>
        <w:wordWrap/>
        <w:overflowPunct/>
        <w:topLinePunct w:val="0"/>
        <w:autoSpaceDE w:val="0"/>
        <w:autoSpaceDN w:val="0"/>
        <w:bidi w:val="0"/>
        <w:adjustRightInd w:val="0"/>
        <w:snapToGrid w:val="0"/>
        <w:spacing w:line="224" w:lineRule="auto"/>
        <w:textAlignment w:val="baseline"/>
        <w:outlineLvl w:val="2"/>
        <w:rPr>
          <w:rFonts w:ascii="楷体" w:hAnsi="楷体" w:eastAsia="楷体" w:cs="楷体"/>
          <w:b/>
          <w:bCs/>
          <w:color w:val="auto"/>
          <w:spacing w:val="20"/>
          <w:sz w:val="31"/>
          <w:szCs w:val="31"/>
        </w:rPr>
      </w:pPr>
      <w:r>
        <w:rPr>
          <w:rFonts w:ascii="楷体" w:hAnsi="楷体" w:eastAsia="楷体" w:cs="楷体"/>
          <w:b/>
          <w:bCs/>
          <w:color w:val="auto"/>
          <w:spacing w:val="20"/>
          <w:sz w:val="31"/>
          <w:szCs w:val="31"/>
        </w:rPr>
        <w:t>价标准等</w:t>
      </w:r>
    </w:p>
    <w:p>
      <w:pPr>
        <w:spacing w:before="206" w:line="222" w:lineRule="auto"/>
        <w:ind w:left="704"/>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1.绩效评价原则</w:t>
      </w:r>
    </w:p>
    <w:p>
      <w:pPr>
        <w:spacing w:before="148" w:line="334" w:lineRule="auto"/>
        <w:ind w:right="49" w:firstLine="636" w:firstLineChars="200"/>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本次评价工作遵循“客观、公正、科学、规范”的原则，通过对项目效率性、效益性的比较和分析，考核支出效率和支出效果。</w:t>
      </w:r>
    </w:p>
    <w:p>
      <w:pPr>
        <w:keepNext w:val="0"/>
        <w:keepLines w:val="0"/>
        <w:pageBreakBefore w:val="0"/>
        <w:widowControl/>
        <w:kinsoku w:val="0"/>
        <w:wordWrap/>
        <w:overflowPunct/>
        <w:topLinePunct w:val="0"/>
        <w:autoSpaceDE w:val="0"/>
        <w:autoSpaceDN w:val="0"/>
        <w:bidi w:val="0"/>
        <w:adjustRightInd w:val="0"/>
        <w:snapToGrid w:val="0"/>
        <w:spacing w:line="224" w:lineRule="auto"/>
        <w:ind w:left="703"/>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2.评价指标体系</w:t>
      </w:r>
    </w:p>
    <w:p>
      <w:pPr>
        <w:spacing w:before="204" w:line="340" w:lineRule="auto"/>
        <w:ind w:left="9" w:right="134" w:firstLine="63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根据海南省财政厅《海南省项目支出绩效评价管理实施</w:t>
      </w:r>
      <w:r>
        <w:rPr>
          <w:rFonts w:hint="eastAsia" w:ascii="仿宋_GB2312" w:hAnsi="仿宋_GB2312" w:eastAsia="仿宋_GB2312" w:cs="仿宋_GB2312"/>
          <w:color w:val="auto"/>
          <w:spacing w:val="11"/>
          <w:sz w:val="32"/>
          <w:szCs w:val="32"/>
        </w:rPr>
        <w:t xml:space="preserve"> </w:t>
      </w:r>
      <w:r>
        <w:rPr>
          <w:rFonts w:hint="eastAsia" w:ascii="仿宋_GB2312" w:hAnsi="仿宋_GB2312" w:eastAsia="仿宋_GB2312" w:cs="仿宋_GB2312"/>
          <w:color w:val="auto"/>
          <w:spacing w:val="9"/>
          <w:sz w:val="32"/>
          <w:szCs w:val="32"/>
        </w:rPr>
        <w:t>办法》等文件精神及本项目的具体特点，设置了</w:t>
      </w:r>
      <w:r>
        <w:rPr>
          <w:rFonts w:hint="eastAsia" w:ascii="仿宋_GB2312" w:hAnsi="仿宋_GB2312" w:eastAsia="仿宋_GB2312" w:cs="仿宋_GB2312"/>
          <w:color w:val="auto"/>
          <w:spacing w:val="8"/>
          <w:sz w:val="32"/>
          <w:szCs w:val="32"/>
        </w:rPr>
        <w:t>合理可行的</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14"/>
          <w:sz w:val="32"/>
          <w:szCs w:val="32"/>
        </w:rPr>
        <w:t>评价体系，包括决策指标(项目立项、绩效目标、资金投入</w:t>
      </w:r>
      <w:r>
        <w:rPr>
          <w:rFonts w:hint="eastAsia" w:ascii="仿宋_GB2312" w:hAnsi="仿宋_GB2312" w:eastAsia="仿宋_GB2312" w:cs="仿宋_GB2312"/>
          <w:color w:val="auto"/>
          <w:spacing w:val="31"/>
          <w:sz w:val="32"/>
          <w:szCs w:val="32"/>
        </w:rPr>
        <w:t>指标)、过程指标(资金管理、组织实施)、产出指标(产</w:t>
      </w:r>
      <w:r>
        <w:rPr>
          <w:rFonts w:hint="eastAsia" w:ascii="仿宋_GB2312" w:hAnsi="仿宋_GB2312" w:eastAsia="仿宋_GB2312" w:cs="仿宋_GB2312"/>
          <w:color w:val="auto"/>
          <w:spacing w:val="13"/>
          <w:sz w:val="32"/>
          <w:szCs w:val="32"/>
        </w:rPr>
        <w:t>出数量、产出质量、产出时效、产出成本指标</w:t>
      </w:r>
      <w:r>
        <w:rPr>
          <w:rFonts w:hint="eastAsia" w:ascii="仿宋_GB2312" w:hAnsi="仿宋_GB2312" w:eastAsia="仿宋_GB2312" w:cs="仿宋_GB2312"/>
          <w:color w:val="auto"/>
          <w:spacing w:val="12"/>
          <w:sz w:val="32"/>
          <w:szCs w:val="32"/>
        </w:rPr>
        <w:t>)、效益指标</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20"/>
          <w:sz w:val="32"/>
          <w:szCs w:val="32"/>
        </w:rPr>
        <w:t>(社会效益和可持续影响指标)、满意度指标等，具体详见</w:t>
      </w:r>
      <w:r>
        <w:rPr>
          <w:rFonts w:hint="eastAsia" w:ascii="仿宋_GB2312" w:hAnsi="仿宋_GB2312" w:eastAsia="仿宋_GB2312" w:cs="仿宋_GB2312"/>
          <w:color w:val="auto"/>
          <w:spacing w:val="1"/>
          <w:sz w:val="32"/>
          <w:szCs w:val="32"/>
        </w:rPr>
        <w:t>项目支出绩效评分表。</w:t>
      </w:r>
    </w:p>
    <w:p>
      <w:pPr>
        <w:keepNext w:val="0"/>
        <w:keepLines w:val="0"/>
        <w:pageBreakBefore w:val="0"/>
        <w:widowControl/>
        <w:kinsoku w:val="0"/>
        <w:wordWrap/>
        <w:overflowPunct/>
        <w:topLinePunct w:val="0"/>
        <w:autoSpaceDE w:val="0"/>
        <w:autoSpaceDN w:val="0"/>
        <w:bidi w:val="0"/>
        <w:adjustRightInd w:val="0"/>
        <w:snapToGrid w:val="0"/>
        <w:spacing w:line="224" w:lineRule="auto"/>
        <w:ind w:left="703"/>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3.评价方法</w:t>
      </w:r>
    </w:p>
    <w:p>
      <w:pPr>
        <w:spacing w:before="204" w:line="340" w:lineRule="auto"/>
        <w:ind w:left="9" w:right="134" w:firstLine="639"/>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lang w:val="en-US" w:eastAsia="zh-CN"/>
        </w:rPr>
        <w:t>结合项目特点，评价方法主要采用目标预定与实施效果相比较，进行定性分析和定量分析</w:t>
      </w:r>
      <w:r>
        <w:rPr>
          <w:rFonts w:hint="eastAsia" w:ascii="仿宋_GB2312" w:hAnsi="仿宋_GB2312" w:eastAsia="仿宋_GB2312" w:cs="仿宋_GB2312"/>
          <w:color w:val="auto"/>
          <w:spacing w:val="8"/>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224" w:lineRule="auto"/>
        <w:ind w:left="703"/>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4.评价标准</w:t>
      </w:r>
    </w:p>
    <w:p>
      <w:pPr>
        <w:spacing w:before="182" w:line="341" w:lineRule="auto"/>
        <w:ind w:left="64" w:right="27" w:firstLine="64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lang w:val="en-US" w:eastAsia="zh-CN"/>
        </w:rPr>
        <w:t>绩效评价标准是指衡量财政支出绩效目标完成程度的尺度。绩效评价标准具体包括：计划标准、行业标准、历史标准、经财政部门和预算部门确认或认可的其他标准</w:t>
      </w:r>
      <w:r>
        <w:rPr>
          <w:rFonts w:hint="eastAsia" w:ascii="仿宋_GB2312" w:hAnsi="仿宋_GB2312" w:eastAsia="仿宋_GB2312" w:cs="仿宋_GB2312"/>
          <w:color w:val="auto"/>
          <w:spacing w:val="4"/>
          <w:sz w:val="32"/>
          <w:szCs w:val="32"/>
        </w:rPr>
        <w:t>。</w:t>
      </w:r>
    </w:p>
    <w:p>
      <w:pPr>
        <w:spacing w:before="1" w:line="222" w:lineRule="auto"/>
        <w:ind w:left="869"/>
        <w:outlineLvl w:val="2"/>
        <w:rPr>
          <w:rFonts w:ascii="楷体" w:hAnsi="楷体" w:eastAsia="楷体" w:cs="楷体"/>
          <w:color w:val="auto"/>
          <w:sz w:val="31"/>
          <w:szCs w:val="31"/>
        </w:rPr>
      </w:pPr>
      <w:r>
        <w:rPr>
          <w:rFonts w:ascii="楷体" w:hAnsi="楷体" w:eastAsia="楷体" w:cs="楷体"/>
          <w:b/>
          <w:bCs/>
          <w:color w:val="auto"/>
          <w:spacing w:val="23"/>
          <w:sz w:val="31"/>
          <w:szCs w:val="31"/>
        </w:rPr>
        <w:t>(三)绩效评价工作过程</w:t>
      </w:r>
    </w:p>
    <w:p>
      <w:pPr>
        <w:spacing w:before="213" w:line="222" w:lineRule="auto"/>
        <w:ind w:left="71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1"/>
          <w:sz w:val="32"/>
          <w:szCs w:val="32"/>
        </w:rPr>
        <w:t>1.前期准备(</w:t>
      </w:r>
      <w:r>
        <w:rPr>
          <w:rFonts w:hint="eastAsia" w:ascii="仿宋_GB2312" w:hAnsi="仿宋_GB2312" w:eastAsia="仿宋_GB2312" w:cs="仿宋_GB2312"/>
          <w:color w:val="auto"/>
          <w:spacing w:val="41"/>
          <w:sz w:val="32"/>
          <w:szCs w:val="32"/>
          <w:lang w:val="en-US" w:eastAsia="zh-CN"/>
        </w:rPr>
        <w:t>8</w:t>
      </w:r>
      <w:r>
        <w:rPr>
          <w:rFonts w:hint="eastAsia" w:ascii="仿宋_GB2312" w:hAnsi="仿宋_GB2312" w:eastAsia="仿宋_GB2312" w:cs="仿宋_GB2312"/>
          <w:color w:val="auto"/>
          <w:spacing w:val="41"/>
          <w:sz w:val="32"/>
          <w:szCs w:val="32"/>
        </w:rPr>
        <w:t>月</w:t>
      </w:r>
      <w:r>
        <w:rPr>
          <w:rFonts w:hint="eastAsia" w:ascii="仿宋_GB2312" w:hAnsi="仿宋_GB2312" w:eastAsia="仿宋_GB2312" w:cs="仿宋_GB2312"/>
          <w:color w:val="auto"/>
          <w:spacing w:val="41"/>
          <w:sz w:val="32"/>
          <w:szCs w:val="32"/>
          <w:lang w:val="en-US" w:eastAsia="zh-CN"/>
        </w:rPr>
        <w:t>1</w:t>
      </w:r>
      <w:r>
        <w:rPr>
          <w:rFonts w:hint="eastAsia" w:ascii="仿宋_GB2312" w:hAnsi="仿宋_GB2312" w:eastAsia="仿宋_GB2312" w:cs="仿宋_GB2312"/>
          <w:color w:val="auto"/>
          <w:spacing w:val="41"/>
          <w:sz w:val="32"/>
          <w:szCs w:val="32"/>
        </w:rPr>
        <w:t>日前)</w:t>
      </w:r>
    </w:p>
    <w:p>
      <w:pPr>
        <w:spacing w:before="192" w:line="339" w:lineRule="auto"/>
        <w:ind w:left="64" w:right="18" w:firstLine="64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rPr>
        <w:t>组织项目绩效</w:t>
      </w:r>
      <w:r>
        <w:rPr>
          <w:rFonts w:hint="eastAsia" w:ascii="仿宋_GB2312" w:hAnsi="仿宋_GB2312" w:eastAsia="仿宋_GB2312" w:cs="仿宋_GB2312"/>
          <w:color w:val="auto"/>
          <w:spacing w:val="9"/>
          <w:sz w:val="32"/>
          <w:szCs w:val="32"/>
          <w:lang w:val="en-US" w:eastAsia="zh-CN"/>
        </w:rPr>
        <w:t>评价成员</w:t>
      </w:r>
      <w:r>
        <w:rPr>
          <w:rFonts w:hint="eastAsia" w:ascii="仿宋_GB2312" w:hAnsi="仿宋_GB2312" w:eastAsia="仿宋_GB2312" w:cs="仿宋_GB2312"/>
          <w:color w:val="auto"/>
          <w:spacing w:val="9"/>
          <w:sz w:val="32"/>
          <w:szCs w:val="32"/>
        </w:rPr>
        <w:t>深入学习</w:t>
      </w:r>
      <w:r>
        <w:rPr>
          <w:rFonts w:hint="eastAsia" w:ascii="仿宋_GB2312" w:hAnsi="仿宋_GB2312" w:eastAsia="仿宋_GB2312" w:cs="仿宋_GB2312"/>
          <w:color w:val="auto"/>
          <w:spacing w:val="15"/>
          <w:sz w:val="32"/>
          <w:szCs w:val="32"/>
        </w:rPr>
        <w:t>海南省财政厅关于印发《海南省项目支出绩效评价管</w:t>
      </w:r>
      <w:r>
        <w:rPr>
          <w:rFonts w:hint="eastAsia" w:ascii="仿宋_GB2312" w:hAnsi="仿宋_GB2312" w:eastAsia="仿宋_GB2312" w:cs="仿宋_GB2312"/>
          <w:color w:val="auto"/>
          <w:spacing w:val="9"/>
          <w:sz w:val="32"/>
          <w:szCs w:val="32"/>
        </w:rPr>
        <w:t>理实施办法》的通知</w:t>
      </w:r>
      <w:r>
        <w:rPr>
          <w:rFonts w:hint="eastAsia" w:ascii="仿宋_GB2312" w:hAnsi="仿宋_GB2312" w:eastAsia="仿宋_GB2312" w:cs="仿宋_GB2312"/>
          <w:color w:val="auto"/>
          <w:spacing w:val="9"/>
          <w:sz w:val="32"/>
          <w:szCs w:val="32"/>
          <w:lang w:val="en-US" w:eastAsia="zh-CN"/>
        </w:rPr>
        <w:t>以及</w:t>
      </w:r>
      <w:r>
        <w:rPr>
          <w:rFonts w:hint="eastAsia" w:ascii="仿宋_GB2312" w:hAnsi="仿宋_GB2312" w:eastAsia="仿宋_GB2312" w:cs="仿宋_GB2312"/>
          <w:color w:val="auto"/>
          <w:spacing w:val="9"/>
          <w:sz w:val="32"/>
          <w:szCs w:val="32"/>
        </w:rPr>
        <w:t>关于印发《海南省本级财政支出预算事前绩效评估管理暂行办法》通知等文件，认真研究同时</w:t>
      </w:r>
      <w:r>
        <w:rPr>
          <w:rFonts w:hint="eastAsia" w:ascii="仿宋_GB2312" w:hAnsi="仿宋_GB2312" w:eastAsia="仿宋_GB2312" w:cs="仿宋_GB2312"/>
          <w:color w:val="auto"/>
          <w:spacing w:val="10"/>
          <w:sz w:val="32"/>
          <w:szCs w:val="32"/>
        </w:rPr>
        <w:t>结合实际情况</w:t>
      </w:r>
      <w:r>
        <w:rPr>
          <w:rFonts w:hint="eastAsia" w:ascii="仿宋_GB2312" w:hAnsi="仿宋_GB2312" w:eastAsia="仿宋_GB2312" w:cs="仿宋_GB2312"/>
          <w:color w:val="auto"/>
          <w:spacing w:val="22"/>
          <w:sz w:val="32"/>
          <w:szCs w:val="32"/>
        </w:rPr>
        <w:t>，制定</w:t>
      </w:r>
      <w:r>
        <w:rPr>
          <w:rFonts w:hint="eastAsia" w:ascii="仿宋_GB2312" w:hAnsi="仿宋_GB2312" w:eastAsia="仿宋_GB2312" w:cs="仿宋_GB2312"/>
          <w:color w:val="auto"/>
          <w:spacing w:val="22"/>
          <w:sz w:val="32"/>
          <w:szCs w:val="32"/>
          <w:lang w:val="en-US" w:eastAsia="zh-CN"/>
        </w:rPr>
        <w:t>2024年度我院</w:t>
      </w:r>
      <w:r>
        <w:rPr>
          <w:rFonts w:hint="eastAsia" w:ascii="仿宋_GB2312" w:hAnsi="仿宋_GB2312" w:eastAsia="仿宋_GB2312" w:cs="仿宋_GB2312"/>
          <w:color w:val="auto"/>
          <w:spacing w:val="22"/>
          <w:sz w:val="32"/>
          <w:szCs w:val="32"/>
          <w:lang w:eastAsia="zh-CN"/>
        </w:rPr>
        <w:t>执法办案</w:t>
      </w:r>
      <w:r>
        <w:rPr>
          <w:rFonts w:hint="eastAsia" w:ascii="仿宋_GB2312" w:hAnsi="仿宋_GB2312" w:eastAsia="仿宋_GB2312" w:cs="仿宋_GB2312"/>
          <w:color w:val="auto"/>
          <w:spacing w:val="22"/>
          <w:sz w:val="32"/>
          <w:szCs w:val="32"/>
        </w:rPr>
        <w:t>项目资金绩效评价指标</w:t>
      </w:r>
      <w:r>
        <w:rPr>
          <w:rFonts w:hint="eastAsia" w:ascii="仿宋_GB2312" w:hAnsi="仿宋_GB2312" w:eastAsia="仿宋_GB2312" w:cs="仿宋_GB2312"/>
          <w:color w:val="auto"/>
          <w:spacing w:val="7"/>
          <w:sz w:val="32"/>
          <w:szCs w:val="32"/>
        </w:rPr>
        <w:t>体系</w:t>
      </w:r>
      <w:r>
        <w:rPr>
          <w:rFonts w:hint="eastAsia" w:ascii="仿宋_GB2312" w:hAnsi="仿宋_GB2312" w:eastAsia="仿宋_GB2312" w:cs="仿宋_GB2312"/>
          <w:color w:val="auto"/>
          <w:spacing w:val="7"/>
          <w:sz w:val="32"/>
          <w:szCs w:val="32"/>
          <w:lang w:val="en-US" w:eastAsia="zh-CN"/>
        </w:rPr>
        <w:t>和</w:t>
      </w:r>
      <w:r>
        <w:rPr>
          <w:rFonts w:hint="eastAsia" w:ascii="仿宋_GB2312" w:hAnsi="仿宋_GB2312" w:eastAsia="仿宋_GB2312" w:cs="仿宋_GB2312"/>
          <w:color w:val="auto"/>
          <w:spacing w:val="7"/>
          <w:sz w:val="32"/>
          <w:szCs w:val="32"/>
        </w:rPr>
        <w:t>评价标准。</w:t>
      </w:r>
    </w:p>
    <w:p>
      <w:pPr>
        <w:spacing w:before="45" w:line="222" w:lineRule="auto"/>
        <w:ind w:left="71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3"/>
          <w:sz w:val="32"/>
          <w:szCs w:val="32"/>
        </w:rPr>
        <w:t>2.数据采集和</w:t>
      </w:r>
      <w:r>
        <w:rPr>
          <w:rFonts w:hint="eastAsia" w:ascii="仿宋_GB2312" w:hAnsi="仿宋_GB2312" w:eastAsia="仿宋_GB2312" w:cs="仿宋_GB2312"/>
          <w:color w:val="auto"/>
          <w:spacing w:val="33"/>
          <w:sz w:val="32"/>
          <w:szCs w:val="32"/>
          <w:lang w:val="en-US" w:eastAsia="zh-CN"/>
        </w:rPr>
        <w:t>评价</w:t>
      </w:r>
      <w:r>
        <w:rPr>
          <w:rFonts w:hint="eastAsia" w:ascii="仿宋_GB2312" w:hAnsi="仿宋_GB2312" w:eastAsia="仿宋_GB2312" w:cs="仿宋_GB2312"/>
          <w:color w:val="auto"/>
          <w:spacing w:val="33"/>
          <w:sz w:val="32"/>
          <w:szCs w:val="32"/>
        </w:rPr>
        <w:t>阶段(</w:t>
      </w:r>
      <w:r>
        <w:rPr>
          <w:rFonts w:hint="eastAsia" w:ascii="仿宋_GB2312" w:hAnsi="仿宋_GB2312" w:eastAsia="仿宋_GB2312" w:cs="仿宋_GB2312"/>
          <w:color w:val="auto"/>
          <w:spacing w:val="33"/>
          <w:sz w:val="32"/>
          <w:szCs w:val="32"/>
          <w:lang w:val="en-US" w:eastAsia="zh-CN"/>
        </w:rPr>
        <w:t>8</w:t>
      </w:r>
      <w:r>
        <w:rPr>
          <w:rFonts w:hint="eastAsia" w:ascii="仿宋_GB2312" w:hAnsi="仿宋_GB2312" w:eastAsia="仿宋_GB2312" w:cs="仿宋_GB2312"/>
          <w:color w:val="auto"/>
          <w:spacing w:val="33"/>
          <w:sz w:val="32"/>
          <w:szCs w:val="32"/>
        </w:rPr>
        <w:t>月</w:t>
      </w:r>
      <w:r>
        <w:rPr>
          <w:rFonts w:hint="eastAsia" w:ascii="仿宋_GB2312" w:hAnsi="仿宋_GB2312" w:eastAsia="仿宋_GB2312" w:cs="仿宋_GB2312"/>
          <w:color w:val="auto"/>
          <w:spacing w:val="33"/>
          <w:sz w:val="32"/>
          <w:szCs w:val="32"/>
          <w:lang w:val="en-US" w:eastAsia="zh-CN"/>
        </w:rPr>
        <w:t>1</w:t>
      </w:r>
      <w:r>
        <w:rPr>
          <w:rFonts w:hint="eastAsia" w:ascii="仿宋_GB2312" w:hAnsi="仿宋_GB2312" w:eastAsia="仿宋_GB2312" w:cs="仿宋_GB2312"/>
          <w:color w:val="auto"/>
          <w:spacing w:val="33"/>
          <w:sz w:val="32"/>
          <w:szCs w:val="32"/>
        </w:rPr>
        <w:t>日</w:t>
      </w:r>
      <w:r>
        <w:rPr>
          <w:rFonts w:hint="eastAsia" w:ascii="仿宋_GB2312" w:hAnsi="仿宋_GB2312" w:eastAsia="仿宋_GB2312" w:cs="仿宋_GB2312"/>
          <w:color w:val="auto"/>
          <w:spacing w:val="33"/>
          <w:sz w:val="32"/>
          <w:szCs w:val="32"/>
          <w:lang w:val="en-US" w:eastAsia="zh-CN"/>
        </w:rPr>
        <w:t>-8月11日</w:t>
      </w:r>
      <w:r>
        <w:rPr>
          <w:rFonts w:hint="eastAsia" w:ascii="仿宋_GB2312" w:hAnsi="仿宋_GB2312" w:eastAsia="仿宋_GB2312" w:cs="仿宋_GB2312"/>
          <w:color w:val="auto"/>
          <w:spacing w:val="33"/>
          <w:sz w:val="32"/>
          <w:szCs w:val="32"/>
        </w:rPr>
        <w:t>)</w:t>
      </w:r>
    </w:p>
    <w:p>
      <w:pPr>
        <w:spacing w:before="189" w:line="339" w:lineRule="auto"/>
        <w:ind w:left="50" w:firstLine="66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项目</w:t>
      </w:r>
      <w:r>
        <w:rPr>
          <w:rFonts w:hint="eastAsia" w:ascii="仿宋_GB2312" w:hAnsi="仿宋_GB2312" w:eastAsia="仿宋_GB2312" w:cs="仿宋_GB2312"/>
          <w:color w:val="auto"/>
          <w:spacing w:val="9"/>
          <w:sz w:val="32"/>
          <w:szCs w:val="32"/>
        </w:rPr>
        <w:t>绩效</w:t>
      </w:r>
      <w:r>
        <w:rPr>
          <w:rFonts w:hint="eastAsia" w:ascii="仿宋_GB2312" w:hAnsi="仿宋_GB2312" w:eastAsia="仿宋_GB2312" w:cs="仿宋_GB2312"/>
          <w:color w:val="auto"/>
          <w:spacing w:val="9"/>
          <w:sz w:val="32"/>
          <w:szCs w:val="32"/>
          <w:lang w:val="en-US" w:eastAsia="zh-CN"/>
        </w:rPr>
        <w:t>评价成员</w:t>
      </w:r>
      <w:r>
        <w:rPr>
          <w:rFonts w:hint="eastAsia" w:ascii="仿宋_GB2312" w:hAnsi="仿宋_GB2312" w:eastAsia="仿宋_GB2312" w:cs="仿宋_GB2312"/>
          <w:color w:val="auto"/>
          <w:spacing w:val="10"/>
          <w:sz w:val="32"/>
          <w:szCs w:val="32"/>
        </w:rPr>
        <w:t>认真做好基础资料和相关数据的收集、整理工作，</w:t>
      </w:r>
      <w:r>
        <w:rPr>
          <w:rFonts w:hint="eastAsia" w:ascii="仿宋_GB2312" w:hAnsi="仿宋_GB2312" w:eastAsia="仿宋_GB2312" w:cs="仿宋_GB2312"/>
          <w:color w:val="auto"/>
          <w:spacing w:val="10"/>
          <w:sz w:val="32"/>
          <w:szCs w:val="32"/>
          <w:lang w:val="en-US" w:eastAsia="zh-CN"/>
        </w:rPr>
        <w:t>通过对</w:t>
      </w:r>
      <w:r>
        <w:rPr>
          <w:rFonts w:hint="eastAsia" w:ascii="仿宋_GB2312" w:hAnsi="仿宋_GB2312" w:eastAsia="仿宋_GB2312" w:cs="仿宋_GB2312"/>
          <w:color w:val="auto"/>
          <w:spacing w:val="10"/>
          <w:sz w:val="32"/>
          <w:szCs w:val="32"/>
        </w:rPr>
        <w:t>收集的数据、资料进行分析和评价，</w:t>
      </w:r>
      <w:r>
        <w:rPr>
          <w:rFonts w:hint="eastAsia" w:ascii="仿宋_GB2312" w:hAnsi="仿宋_GB2312" w:eastAsia="仿宋_GB2312" w:cs="仿宋_GB2312"/>
          <w:color w:val="auto"/>
          <w:spacing w:val="10"/>
          <w:sz w:val="32"/>
          <w:szCs w:val="32"/>
          <w:lang w:val="en-US" w:eastAsia="zh-CN"/>
        </w:rPr>
        <w:t>梳理出</w:t>
      </w:r>
      <w:r>
        <w:rPr>
          <w:rFonts w:hint="eastAsia" w:ascii="仿宋_GB2312" w:hAnsi="仿宋_GB2312" w:eastAsia="仿宋_GB2312" w:cs="仿宋_GB2312"/>
          <w:color w:val="auto"/>
          <w:spacing w:val="9"/>
          <w:sz w:val="32"/>
          <w:szCs w:val="32"/>
        </w:rPr>
        <w:t>项目支出绩效</w:t>
      </w:r>
      <w:r>
        <w:rPr>
          <w:rFonts w:hint="eastAsia" w:ascii="仿宋_GB2312" w:hAnsi="仿宋_GB2312" w:eastAsia="仿宋_GB2312" w:cs="仿宋_GB2312"/>
          <w:color w:val="auto"/>
          <w:spacing w:val="9"/>
          <w:sz w:val="32"/>
          <w:szCs w:val="32"/>
          <w:lang w:val="en-US" w:eastAsia="zh-CN"/>
        </w:rPr>
        <w:t>完成</w:t>
      </w:r>
      <w:r>
        <w:rPr>
          <w:rFonts w:hint="eastAsia" w:ascii="仿宋_GB2312" w:hAnsi="仿宋_GB2312" w:eastAsia="仿宋_GB2312" w:cs="仿宋_GB2312"/>
          <w:color w:val="auto"/>
          <w:spacing w:val="9"/>
          <w:sz w:val="32"/>
          <w:szCs w:val="32"/>
        </w:rPr>
        <w:t>结果，做到</w:t>
      </w:r>
      <w:r>
        <w:rPr>
          <w:rFonts w:hint="eastAsia" w:ascii="仿宋_GB2312" w:hAnsi="仿宋_GB2312" w:eastAsia="仿宋_GB2312" w:cs="仿宋_GB2312"/>
          <w:color w:val="auto"/>
          <w:spacing w:val="18"/>
          <w:sz w:val="32"/>
          <w:szCs w:val="32"/>
        </w:rPr>
        <w:t>内容完整、权重合理、数据真实、结果客观</w:t>
      </w:r>
      <w:r>
        <w:rPr>
          <w:rFonts w:hint="eastAsia" w:ascii="仿宋_GB2312" w:hAnsi="仿宋_GB2312" w:eastAsia="仿宋_GB2312" w:cs="仿宋_GB2312"/>
          <w:color w:val="auto"/>
          <w:spacing w:val="6"/>
          <w:sz w:val="32"/>
          <w:szCs w:val="32"/>
        </w:rPr>
        <w:t>。</w:t>
      </w:r>
    </w:p>
    <w:p>
      <w:pPr>
        <w:spacing w:before="41" w:line="220" w:lineRule="auto"/>
        <w:ind w:left="71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3"/>
          <w:sz w:val="32"/>
          <w:szCs w:val="32"/>
        </w:rPr>
        <w:t>3.</w:t>
      </w:r>
      <w:r>
        <w:rPr>
          <w:rFonts w:hint="eastAsia" w:ascii="仿宋_GB2312" w:hAnsi="仿宋_GB2312" w:eastAsia="仿宋_GB2312" w:cs="仿宋_GB2312"/>
          <w:color w:val="auto"/>
          <w:spacing w:val="33"/>
          <w:sz w:val="32"/>
          <w:szCs w:val="32"/>
          <w:lang w:val="en-US" w:eastAsia="zh-CN"/>
        </w:rPr>
        <w:t>评价结果沟通和审核</w:t>
      </w:r>
      <w:r>
        <w:rPr>
          <w:rFonts w:hint="eastAsia" w:ascii="仿宋_GB2312" w:hAnsi="仿宋_GB2312" w:eastAsia="仿宋_GB2312" w:cs="仿宋_GB2312"/>
          <w:color w:val="auto"/>
          <w:spacing w:val="33"/>
          <w:sz w:val="32"/>
          <w:szCs w:val="32"/>
        </w:rPr>
        <w:t>阶段(</w:t>
      </w:r>
      <w:r>
        <w:rPr>
          <w:rFonts w:hint="eastAsia" w:ascii="仿宋_GB2312" w:hAnsi="仿宋_GB2312" w:eastAsia="仿宋_GB2312" w:cs="仿宋_GB2312"/>
          <w:color w:val="auto"/>
          <w:spacing w:val="33"/>
          <w:sz w:val="32"/>
          <w:szCs w:val="32"/>
          <w:lang w:val="en-US" w:eastAsia="zh-CN"/>
        </w:rPr>
        <w:t>8</w:t>
      </w:r>
      <w:r>
        <w:rPr>
          <w:rFonts w:hint="eastAsia" w:ascii="仿宋_GB2312" w:hAnsi="仿宋_GB2312" w:eastAsia="仿宋_GB2312" w:cs="仿宋_GB2312"/>
          <w:color w:val="auto"/>
          <w:spacing w:val="33"/>
          <w:sz w:val="32"/>
          <w:szCs w:val="32"/>
        </w:rPr>
        <w:t>月</w:t>
      </w:r>
      <w:r>
        <w:rPr>
          <w:rFonts w:hint="eastAsia" w:ascii="仿宋_GB2312" w:hAnsi="仿宋_GB2312" w:eastAsia="仿宋_GB2312" w:cs="仿宋_GB2312"/>
          <w:color w:val="auto"/>
          <w:spacing w:val="33"/>
          <w:sz w:val="32"/>
          <w:szCs w:val="32"/>
          <w:lang w:val="en-US" w:eastAsia="zh-CN"/>
        </w:rPr>
        <w:t>20</w:t>
      </w:r>
      <w:r>
        <w:rPr>
          <w:rFonts w:hint="eastAsia" w:ascii="仿宋_GB2312" w:hAnsi="仿宋_GB2312" w:eastAsia="仿宋_GB2312" w:cs="仿宋_GB2312"/>
          <w:color w:val="auto"/>
          <w:spacing w:val="33"/>
          <w:sz w:val="32"/>
          <w:szCs w:val="32"/>
        </w:rPr>
        <w:t>日前)</w:t>
      </w:r>
    </w:p>
    <w:p>
      <w:pPr>
        <w:spacing w:before="127" w:line="341" w:lineRule="auto"/>
        <w:ind w:right="165" w:firstLine="67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rPr>
        <w:t>项目绩效评价</w:t>
      </w:r>
      <w:r>
        <w:rPr>
          <w:rFonts w:hint="eastAsia" w:ascii="仿宋_GB2312" w:hAnsi="仿宋_GB2312" w:eastAsia="仿宋_GB2312" w:cs="仿宋_GB2312"/>
          <w:color w:val="auto"/>
          <w:spacing w:val="9"/>
          <w:sz w:val="32"/>
          <w:szCs w:val="32"/>
          <w:lang w:val="en-US" w:eastAsia="zh-CN"/>
        </w:rPr>
        <w:t>成员将</w:t>
      </w:r>
      <w:r>
        <w:rPr>
          <w:rFonts w:hint="eastAsia" w:ascii="仿宋_GB2312" w:hAnsi="仿宋_GB2312" w:eastAsia="仿宋_GB2312" w:cs="仿宋_GB2312"/>
          <w:color w:val="auto"/>
          <w:spacing w:val="8"/>
          <w:sz w:val="32"/>
          <w:szCs w:val="32"/>
        </w:rPr>
        <w:t>《项</w:t>
      </w:r>
      <w:r>
        <w:rPr>
          <w:rFonts w:hint="eastAsia" w:ascii="仿宋_GB2312" w:hAnsi="仿宋_GB2312" w:eastAsia="仿宋_GB2312" w:cs="仿宋_GB2312"/>
          <w:color w:val="auto"/>
          <w:spacing w:val="7"/>
          <w:sz w:val="32"/>
          <w:szCs w:val="32"/>
        </w:rPr>
        <w:t>目支出绩效</w:t>
      </w:r>
      <w:r>
        <w:rPr>
          <w:rFonts w:hint="eastAsia" w:ascii="仿宋_GB2312" w:hAnsi="仿宋_GB2312" w:eastAsia="仿宋_GB2312" w:cs="仿宋_GB2312"/>
          <w:color w:val="auto"/>
          <w:spacing w:val="7"/>
          <w:sz w:val="32"/>
          <w:szCs w:val="32"/>
          <w:lang w:val="en-US" w:eastAsia="zh-CN"/>
        </w:rPr>
        <w:t>评价报告</w:t>
      </w: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lang w:val="en-US" w:eastAsia="zh-CN"/>
        </w:rPr>
        <w:t>征求意见稿）提交</w:t>
      </w:r>
      <w:r>
        <w:rPr>
          <w:rFonts w:hint="eastAsia" w:ascii="仿宋_GB2312" w:hAnsi="仿宋_GB2312" w:eastAsia="仿宋_GB2312" w:cs="仿宋_GB2312"/>
          <w:color w:val="auto"/>
          <w:spacing w:val="9"/>
          <w:sz w:val="32"/>
          <w:szCs w:val="32"/>
        </w:rPr>
        <w:t>项目实施部门</w:t>
      </w:r>
      <w:r>
        <w:rPr>
          <w:rFonts w:hint="eastAsia" w:ascii="仿宋_GB2312" w:hAnsi="仿宋_GB2312" w:eastAsia="仿宋_GB2312" w:cs="仿宋_GB2312"/>
          <w:color w:val="auto"/>
          <w:spacing w:val="7"/>
          <w:sz w:val="32"/>
          <w:szCs w:val="32"/>
        </w:rPr>
        <w:t>进行审核，审核通过后，项目实施部门</w:t>
      </w:r>
      <w:r>
        <w:rPr>
          <w:rFonts w:hint="eastAsia" w:ascii="仿宋_GB2312" w:hAnsi="仿宋_GB2312" w:eastAsia="仿宋_GB2312" w:cs="仿宋_GB2312"/>
          <w:color w:val="auto"/>
          <w:spacing w:val="24"/>
          <w:sz w:val="32"/>
          <w:szCs w:val="32"/>
        </w:rPr>
        <w:t>按照要求</w:t>
      </w:r>
      <w:r>
        <w:rPr>
          <w:rFonts w:hint="eastAsia" w:ascii="仿宋_GB2312" w:hAnsi="仿宋_GB2312" w:eastAsia="仿宋_GB2312" w:cs="仿宋_GB2312"/>
          <w:color w:val="auto"/>
          <w:spacing w:val="9"/>
          <w:sz w:val="32"/>
          <w:szCs w:val="32"/>
        </w:rPr>
        <w:t>通过预算一体化系统报送至海南省财政厅对口业务</w:t>
      </w:r>
      <w:r>
        <w:rPr>
          <w:rFonts w:hint="eastAsia" w:ascii="仿宋_GB2312" w:hAnsi="仿宋_GB2312" w:eastAsia="仿宋_GB2312" w:cs="仿宋_GB2312"/>
          <w:color w:val="auto"/>
          <w:spacing w:val="-16"/>
          <w:sz w:val="32"/>
          <w:szCs w:val="32"/>
        </w:rPr>
        <w:t>处。</w:t>
      </w:r>
    </w:p>
    <w:p>
      <w:pPr>
        <w:spacing w:before="6" w:line="222" w:lineRule="auto"/>
        <w:ind w:left="664"/>
        <w:outlineLvl w:val="2"/>
        <w:rPr>
          <w:rFonts w:ascii="黑体" w:hAnsi="黑体" w:eastAsia="黑体" w:cs="黑体"/>
          <w:color w:val="auto"/>
          <w:sz w:val="31"/>
          <w:szCs w:val="31"/>
        </w:rPr>
      </w:pPr>
      <w:r>
        <w:rPr>
          <w:rFonts w:ascii="黑体" w:hAnsi="黑体" w:eastAsia="黑体" w:cs="黑体"/>
          <w:b/>
          <w:bCs/>
          <w:color w:val="auto"/>
          <w:spacing w:val="4"/>
          <w:sz w:val="31"/>
          <w:szCs w:val="31"/>
        </w:rPr>
        <w:t>三、综合评价情况及评价结论</w:t>
      </w:r>
    </w:p>
    <w:p>
      <w:pPr>
        <w:tabs>
          <w:tab w:val="left" w:pos="158"/>
        </w:tabs>
        <w:spacing w:before="211" w:line="338" w:lineRule="auto"/>
        <w:ind w:right="125" w:firstLine="659"/>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围绕绩效评价指标体系，</w:t>
      </w:r>
      <w:r>
        <w:rPr>
          <w:rFonts w:hint="eastAsia" w:ascii="仿宋_GB2312" w:hAnsi="仿宋_GB2312" w:eastAsia="仿宋_GB2312" w:cs="仿宋_GB2312"/>
          <w:color w:val="auto"/>
          <w:spacing w:val="7"/>
          <w:sz w:val="32"/>
          <w:szCs w:val="32"/>
          <w:lang w:val="en-US" w:eastAsia="zh-CN"/>
        </w:rPr>
        <w:t>项目</w:t>
      </w:r>
      <w:r>
        <w:rPr>
          <w:rFonts w:hint="eastAsia" w:ascii="仿宋_GB2312" w:hAnsi="仿宋_GB2312" w:eastAsia="仿宋_GB2312" w:cs="仿宋_GB2312"/>
          <w:color w:val="auto"/>
          <w:spacing w:val="7"/>
          <w:sz w:val="32"/>
          <w:szCs w:val="32"/>
        </w:rPr>
        <w:t>绩效评价</w:t>
      </w:r>
      <w:r>
        <w:rPr>
          <w:rFonts w:hint="eastAsia" w:ascii="仿宋_GB2312" w:hAnsi="仿宋_GB2312" w:eastAsia="仿宋_GB2312" w:cs="仿宋_GB2312"/>
          <w:color w:val="auto"/>
          <w:spacing w:val="7"/>
          <w:sz w:val="32"/>
          <w:szCs w:val="32"/>
          <w:lang w:val="en-US" w:eastAsia="zh-CN"/>
        </w:rPr>
        <w:t>成员</w:t>
      </w:r>
      <w:r>
        <w:rPr>
          <w:rFonts w:hint="eastAsia" w:ascii="仿宋_GB2312" w:hAnsi="仿宋_GB2312" w:eastAsia="仿宋_GB2312" w:cs="仿宋_GB2312"/>
          <w:color w:val="auto"/>
          <w:spacing w:val="7"/>
          <w:sz w:val="32"/>
          <w:szCs w:val="32"/>
        </w:rPr>
        <w:t>通</w:t>
      </w:r>
      <w:r>
        <w:rPr>
          <w:rFonts w:hint="eastAsia" w:ascii="仿宋_GB2312" w:hAnsi="仿宋_GB2312" w:eastAsia="仿宋_GB2312" w:cs="仿宋_GB2312"/>
          <w:color w:val="auto"/>
          <w:spacing w:val="8"/>
          <w:sz w:val="32"/>
          <w:szCs w:val="32"/>
        </w:rPr>
        <w:t>过数据采集、定量分析、满意度调查等方式，对该项目绩效进行了客观、公正的评价，评价认为</w:t>
      </w:r>
      <w:r>
        <w:rPr>
          <w:rFonts w:hint="eastAsia" w:ascii="仿宋_GB2312" w:hAnsi="仿宋_GB2312" w:eastAsia="仿宋_GB2312" w:cs="仿宋_GB2312"/>
          <w:color w:val="auto"/>
          <w:spacing w:val="7"/>
          <w:sz w:val="32"/>
          <w:szCs w:val="32"/>
        </w:rPr>
        <w:t>，2024年</w:t>
      </w:r>
      <w:r>
        <w:rPr>
          <w:rFonts w:hint="eastAsia" w:ascii="仿宋_GB2312" w:hAnsi="仿宋_GB2312" w:eastAsia="仿宋_GB2312" w:cs="仿宋_GB2312"/>
          <w:color w:val="auto"/>
          <w:spacing w:val="7"/>
          <w:sz w:val="32"/>
          <w:szCs w:val="32"/>
          <w:lang w:val="en-US" w:eastAsia="zh-CN"/>
        </w:rPr>
        <w:t>我院执法办案项目</w:t>
      </w:r>
      <w:r>
        <w:rPr>
          <w:rFonts w:hint="eastAsia" w:ascii="仿宋_GB2312" w:hAnsi="仿宋_GB2312" w:eastAsia="仿宋_GB2312" w:cs="仿宋_GB2312"/>
          <w:color w:val="auto"/>
          <w:spacing w:val="15"/>
          <w:sz w:val="32"/>
          <w:szCs w:val="32"/>
        </w:rPr>
        <w:t>的实施较好</w:t>
      </w:r>
      <w:r>
        <w:rPr>
          <w:rFonts w:hint="eastAsia" w:ascii="仿宋_GB2312" w:hAnsi="仿宋_GB2312" w:eastAsia="仿宋_GB2312" w:cs="仿宋_GB2312"/>
          <w:color w:val="auto"/>
          <w:spacing w:val="15"/>
          <w:sz w:val="32"/>
          <w:szCs w:val="32"/>
          <w:lang w:val="en-US" w:eastAsia="zh-CN"/>
        </w:rPr>
        <w:t>地</w:t>
      </w:r>
      <w:r>
        <w:rPr>
          <w:rFonts w:hint="eastAsia" w:ascii="仿宋_GB2312" w:hAnsi="仿宋_GB2312" w:eastAsia="仿宋_GB2312" w:cs="仿宋_GB2312"/>
          <w:color w:val="auto"/>
          <w:spacing w:val="15"/>
          <w:sz w:val="32"/>
          <w:szCs w:val="32"/>
        </w:rPr>
        <w:t>完成了当年的绩效目标</w:t>
      </w:r>
      <w:r>
        <w:rPr>
          <w:rFonts w:hint="eastAsia" w:ascii="仿宋_GB2312" w:hAnsi="仿宋_GB2312" w:eastAsia="仿宋_GB2312" w:cs="仿宋_GB2312"/>
          <w:color w:val="auto"/>
          <w:spacing w:val="8"/>
          <w:sz w:val="32"/>
          <w:szCs w:val="32"/>
        </w:rPr>
        <w:t>任务，有效发挥了资金使用效益，基本达到了预定的各项工</w:t>
      </w:r>
      <w:r>
        <w:rPr>
          <w:rFonts w:hint="eastAsia" w:ascii="仿宋_GB2312" w:hAnsi="仿宋_GB2312" w:eastAsia="仿宋_GB2312" w:cs="仿宋_GB2312"/>
          <w:color w:val="auto"/>
          <w:spacing w:val="13"/>
          <w:sz w:val="32"/>
          <w:szCs w:val="32"/>
        </w:rPr>
        <w:t>作目标，评价得分为9</w:t>
      </w:r>
      <w:r>
        <w:rPr>
          <w:rFonts w:hint="eastAsia" w:ascii="仿宋_GB2312" w:hAnsi="仿宋_GB2312" w:eastAsia="仿宋_GB2312" w:cs="仿宋_GB2312"/>
          <w:color w:val="auto"/>
          <w:spacing w:val="13"/>
          <w:sz w:val="32"/>
          <w:szCs w:val="32"/>
          <w:lang w:val="en-US" w:eastAsia="zh-CN"/>
        </w:rPr>
        <w:t>9</w:t>
      </w:r>
      <w:r>
        <w:rPr>
          <w:rFonts w:hint="eastAsia" w:ascii="仿宋_GB2312" w:hAnsi="仿宋_GB2312" w:eastAsia="仿宋_GB2312" w:cs="仿宋_GB2312"/>
          <w:color w:val="auto"/>
          <w:spacing w:val="13"/>
          <w:sz w:val="32"/>
          <w:szCs w:val="32"/>
        </w:rPr>
        <w:t>分，绩效等级为“</w:t>
      </w:r>
      <w:r>
        <w:rPr>
          <w:rFonts w:hint="eastAsia" w:ascii="仿宋_GB2312" w:hAnsi="仿宋_GB2312" w:eastAsia="仿宋_GB2312" w:cs="仿宋_GB2312"/>
          <w:color w:val="auto"/>
          <w:spacing w:val="12"/>
          <w:sz w:val="32"/>
          <w:szCs w:val="32"/>
        </w:rPr>
        <w:t>优”。</w:t>
      </w:r>
    </w:p>
    <w:p>
      <w:pPr>
        <w:spacing w:before="1" w:line="220" w:lineRule="auto"/>
        <w:ind w:left="664"/>
        <w:outlineLvl w:val="2"/>
        <w:rPr>
          <w:rFonts w:ascii="黑体" w:hAnsi="黑体" w:eastAsia="黑体" w:cs="黑体"/>
          <w:color w:val="auto"/>
          <w:sz w:val="31"/>
          <w:szCs w:val="31"/>
        </w:rPr>
      </w:pPr>
      <w:r>
        <w:rPr>
          <w:rFonts w:ascii="黑体" w:hAnsi="黑体" w:eastAsia="黑体" w:cs="黑体"/>
          <w:b/>
          <w:bCs/>
          <w:color w:val="auto"/>
          <w:spacing w:val="6"/>
          <w:sz w:val="31"/>
          <w:szCs w:val="31"/>
        </w:rPr>
        <w:t>四、绩效评价指标分析</w:t>
      </w:r>
    </w:p>
    <w:p>
      <w:pPr>
        <w:pStyle w:val="8"/>
        <w:keepNext w:val="0"/>
        <w:keepLines w:val="0"/>
        <w:pageBreakBefore w:val="0"/>
        <w:widowControl/>
        <w:kinsoku/>
        <w:wordWrap/>
        <w:overflowPunct/>
        <w:topLinePunct w:val="0"/>
        <w:autoSpaceDE/>
        <w:autoSpaceDN/>
        <w:bidi w:val="0"/>
        <w:adjustRightInd/>
        <w:snapToGrid/>
        <w:spacing w:line="590" w:lineRule="exact"/>
        <w:ind w:firstLine="676" w:firstLineChars="200"/>
        <w:jc w:val="both"/>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依据《</w:t>
      </w:r>
      <w:r>
        <w:rPr>
          <w:rFonts w:hint="eastAsia" w:ascii="仿宋_GB2312" w:hAnsi="仿宋_GB2312" w:eastAsia="仿宋_GB2312" w:cs="仿宋_GB2312"/>
          <w:color w:val="auto"/>
          <w:spacing w:val="15"/>
          <w:sz w:val="32"/>
          <w:szCs w:val="32"/>
        </w:rPr>
        <w:t>海南省项目支出绩效评价管</w:t>
      </w:r>
      <w:r>
        <w:rPr>
          <w:rFonts w:hint="eastAsia" w:ascii="仿宋_GB2312" w:hAnsi="仿宋_GB2312" w:eastAsia="仿宋_GB2312" w:cs="仿宋_GB2312"/>
          <w:color w:val="auto"/>
          <w:spacing w:val="9"/>
          <w:sz w:val="32"/>
          <w:szCs w:val="32"/>
        </w:rPr>
        <w:t>理实施办法</w:t>
      </w:r>
      <w:r>
        <w:rPr>
          <w:rFonts w:hint="eastAsia" w:ascii="仿宋_GB2312" w:hAnsi="仿宋_GB2312" w:eastAsia="仿宋_GB2312" w:cs="仿宋_GB2312"/>
          <w:snapToGrid w:val="0"/>
          <w:color w:val="auto"/>
          <w:spacing w:val="9"/>
          <w:kern w:val="0"/>
          <w:sz w:val="32"/>
          <w:szCs w:val="32"/>
          <w:lang w:val="en-US" w:eastAsia="zh-CN" w:bidi="ar-SA"/>
        </w:rPr>
        <w:t>》等文件精神，结合三亚市城郊人民法院本级实际情况，本次具体从项目决策、项目管理、项目产出、项目效益四个方面进行评价，评价得分采用百分制。具体如下：</w:t>
      </w:r>
    </w:p>
    <w:p>
      <w:pPr>
        <w:spacing w:before="205" w:line="224" w:lineRule="auto"/>
        <w:ind w:left="804"/>
        <w:outlineLvl w:val="2"/>
        <w:rPr>
          <w:rFonts w:ascii="楷体" w:hAnsi="楷体" w:eastAsia="楷体" w:cs="楷体"/>
          <w:color w:val="auto"/>
          <w:sz w:val="31"/>
          <w:szCs w:val="31"/>
        </w:rPr>
      </w:pPr>
      <w:r>
        <w:rPr>
          <w:rFonts w:ascii="楷体" w:hAnsi="楷体" w:eastAsia="楷体" w:cs="楷体"/>
          <w:b/>
          <w:bCs/>
          <w:color w:val="auto"/>
          <w:spacing w:val="27"/>
          <w:sz w:val="31"/>
          <w:szCs w:val="31"/>
        </w:rPr>
        <w:t>(一)项目决策情况</w:t>
      </w:r>
    </w:p>
    <w:p>
      <w:pPr>
        <w:spacing w:before="210" w:line="222" w:lineRule="auto"/>
        <w:ind w:left="659"/>
        <w:rPr>
          <w:rFonts w:hint="eastAsia" w:ascii="仿宋_GB2312" w:hAnsi="仿宋_GB2312" w:eastAsia="仿宋_GB2312" w:cs="仿宋_GB2312"/>
          <w:color w:val="auto"/>
          <w:spacing w:val="35"/>
          <w:sz w:val="32"/>
          <w:szCs w:val="32"/>
        </w:rPr>
      </w:pPr>
      <w:r>
        <w:rPr>
          <w:rFonts w:hint="eastAsia" w:ascii="仿宋_GB2312" w:hAnsi="仿宋_GB2312" w:eastAsia="仿宋_GB2312" w:cs="仿宋_GB2312"/>
          <w:color w:val="auto"/>
          <w:spacing w:val="35"/>
          <w:sz w:val="32"/>
          <w:szCs w:val="32"/>
        </w:rPr>
        <w:t>1</w:t>
      </w:r>
      <w:r>
        <w:rPr>
          <w:rFonts w:hint="eastAsia" w:ascii="仿宋_GB2312" w:hAnsi="仿宋_GB2312" w:eastAsia="仿宋_GB2312" w:cs="仿宋_GB2312"/>
          <w:color w:val="auto"/>
          <w:spacing w:val="35"/>
          <w:sz w:val="32"/>
          <w:szCs w:val="32"/>
          <w:lang w:val="en-US" w:eastAsia="zh-CN"/>
        </w:rPr>
        <w:t>.</w:t>
      </w:r>
      <w:r>
        <w:rPr>
          <w:rFonts w:hint="eastAsia" w:ascii="仿宋_GB2312" w:hAnsi="仿宋_GB2312" w:eastAsia="仿宋_GB2312" w:cs="仿宋_GB2312"/>
          <w:color w:val="auto"/>
          <w:spacing w:val="35"/>
          <w:sz w:val="32"/>
          <w:szCs w:val="32"/>
        </w:rPr>
        <w:t>项目立项情况分析(满分4分，得4分)</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76" w:firstLineChars="200"/>
        <w:textAlignment w:val="auto"/>
        <w:rPr>
          <w:rFonts w:hint="eastAsia" w:ascii="仿宋_GB2312" w:hAnsi="仿宋_GB2312" w:eastAsia="仿宋_GB2312" w:cs="仿宋_GB2312"/>
          <w:snapToGrid w:val="0"/>
          <w:color w:val="auto"/>
          <w:spacing w:val="9"/>
          <w:kern w:val="0"/>
          <w:sz w:val="32"/>
          <w:szCs w:val="32"/>
          <w:lang w:val="en-US" w:eastAsia="en-US" w:bidi="ar-SA"/>
        </w:rPr>
      </w:pPr>
      <w:r>
        <w:rPr>
          <w:rFonts w:hint="eastAsia" w:ascii="仿宋_GB2312" w:hAnsi="仿宋_GB2312" w:eastAsia="仿宋_GB2312" w:cs="仿宋_GB2312"/>
          <w:snapToGrid w:val="0"/>
          <w:color w:val="auto"/>
          <w:spacing w:val="9"/>
          <w:kern w:val="0"/>
          <w:sz w:val="32"/>
          <w:szCs w:val="32"/>
          <w:lang w:val="en-US" w:eastAsia="zh-CN" w:bidi="ar-SA"/>
        </w:rPr>
        <w:t>（1）立项依据充分性</w:t>
      </w:r>
      <w:r>
        <w:rPr>
          <w:rFonts w:hint="eastAsia" w:ascii="仿宋_GB2312" w:hAnsi="仿宋_GB2312" w:eastAsia="仿宋_GB2312" w:cs="仿宋_GB2312"/>
          <w:snapToGrid w:val="0"/>
          <w:color w:val="auto"/>
          <w:spacing w:val="9"/>
          <w:kern w:val="0"/>
          <w:sz w:val="32"/>
          <w:szCs w:val="32"/>
          <w:lang w:val="en-US" w:eastAsia="en-US" w:bidi="ar-SA"/>
        </w:rPr>
        <w:t>（指标分值2分，得分</w:t>
      </w:r>
      <w:r>
        <w:rPr>
          <w:rFonts w:hint="eastAsia" w:ascii="仿宋_GB2312" w:hAnsi="仿宋_GB2312" w:eastAsia="仿宋_GB2312" w:cs="仿宋_GB2312"/>
          <w:snapToGrid w:val="0"/>
          <w:color w:val="auto"/>
          <w:spacing w:val="9"/>
          <w:kern w:val="0"/>
          <w:sz w:val="32"/>
          <w:szCs w:val="32"/>
          <w:lang w:val="en-US" w:eastAsia="zh-CN" w:bidi="ar-SA"/>
        </w:rPr>
        <w:t>2</w:t>
      </w:r>
      <w:r>
        <w:rPr>
          <w:rFonts w:hint="eastAsia" w:ascii="仿宋_GB2312" w:hAnsi="仿宋_GB2312" w:eastAsia="仿宋_GB2312" w:cs="仿宋_GB2312"/>
          <w:snapToGrid w:val="0"/>
          <w:color w:val="auto"/>
          <w:spacing w:val="9"/>
          <w:kern w:val="0"/>
          <w:sz w:val="32"/>
          <w:szCs w:val="32"/>
          <w:lang w:val="en-US" w:eastAsia="en-US" w:bidi="ar-SA"/>
        </w:rPr>
        <w:t>分）</w:t>
      </w:r>
    </w:p>
    <w:p>
      <w:pPr>
        <w:pStyle w:val="8"/>
        <w:keepNext w:val="0"/>
        <w:keepLines w:val="0"/>
        <w:pageBreakBefore w:val="0"/>
        <w:widowControl/>
        <w:kinsoku/>
        <w:wordWrap/>
        <w:overflowPunct/>
        <w:topLinePunct w:val="0"/>
        <w:autoSpaceDE/>
        <w:autoSpaceDN/>
        <w:bidi w:val="0"/>
        <w:adjustRightInd/>
        <w:snapToGrid/>
        <w:spacing w:line="590" w:lineRule="exact"/>
        <w:ind w:firstLine="676" w:firstLineChars="200"/>
        <w:jc w:val="both"/>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指标说明：项目立项是否符合法律法规、相关政策 、 发展规划以及部门职责，用以反映和考核项目立项依据情况。</w:t>
      </w:r>
    </w:p>
    <w:p>
      <w:pPr>
        <w:pStyle w:val="8"/>
        <w:keepNext w:val="0"/>
        <w:keepLines w:val="0"/>
        <w:pageBreakBefore w:val="0"/>
        <w:widowControl/>
        <w:kinsoku/>
        <w:wordWrap/>
        <w:overflowPunct/>
        <w:topLinePunct w:val="0"/>
        <w:autoSpaceDE/>
        <w:autoSpaceDN/>
        <w:bidi w:val="0"/>
        <w:adjustRightInd/>
        <w:snapToGrid/>
        <w:spacing w:line="590" w:lineRule="exact"/>
        <w:ind w:firstLine="676" w:firstLineChars="200"/>
        <w:jc w:val="both"/>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评分标准：①项目立项是否符合国家法律法规、国民经济发展规划和相关政策；②项目立项是否符合行业发展规划和政策要求；③项目立项是否与部门职责范围相符，属于部门履职所需；④项目是否属于公共财政支持范围；⑤项目是否与相关部门同类项目或部门内部相关项目重复。以上要求全部符合得2分，否则不得分。</w:t>
      </w:r>
    </w:p>
    <w:p>
      <w:pPr>
        <w:pStyle w:val="8"/>
        <w:keepNext w:val="0"/>
        <w:keepLines w:val="0"/>
        <w:pageBreakBefore w:val="0"/>
        <w:widowControl/>
        <w:kinsoku/>
        <w:wordWrap/>
        <w:overflowPunct/>
        <w:topLinePunct w:val="0"/>
        <w:autoSpaceDE/>
        <w:autoSpaceDN/>
        <w:bidi w:val="0"/>
        <w:adjustRightInd/>
        <w:snapToGrid/>
        <w:spacing w:line="590" w:lineRule="exact"/>
        <w:ind w:firstLine="676" w:firstLineChars="200"/>
        <w:jc w:val="both"/>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评价情况：该项目立项符合国家法律法规、国民经济发展规划和相关政策，符合相关行业发展规划的要求，且与部门职责范围相符，属于部门履职所需和公共财政支持的范围。</w:t>
      </w:r>
    </w:p>
    <w:p>
      <w:pPr>
        <w:pStyle w:val="8"/>
        <w:keepNext w:val="0"/>
        <w:keepLines w:val="0"/>
        <w:pageBreakBefore w:val="0"/>
        <w:widowControl/>
        <w:kinsoku/>
        <w:wordWrap/>
        <w:overflowPunct/>
        <w:topLinePunct w:val="0"/>
        <w:autoSpaceDE/>
        <w:autoSpaceDN/>
        <w:bidi w:val="0"/>
        <w:adjustRightInd/>
        <w:snapToGrid/>
        <w:spacing w:line="590" w:lineRule="exact"/>
        <w:ind w:firstLine="676" w:firstLineChars="200"/>
        <w:jc w:val="both"/>
        <w:textAlignment w:val="auto"/>
        <w:rPr>
          <w:rFonts w:hint="eastAsia" w:ascii="仿宋_GB2312" w:hAnsi="仿宋_GB2312" w:eastAsia="仿宋_GB2312" w:cs="仿宋_GB2312"/>
          <w:snapToGrid w:val="0"/>
          <w:color w:val="auto"/>
          <w:spacing w:val="9"/>
          <w:kern w:val="0"/>
          <w:sz w:val="32"/>
          <w:szCs w:val="32"/>
          <w:lang w:val="en-US" w:eastAsia="en-US" w:bidi="ar-SA"/>
        </w:rPr>
      </w:pPr>
      <w:r>
        <w:rPr>
          <w:rFonts w:hint="eastAsia" w:ascii="仿宋_GB2312" w:hAnsi="仿宋_GB2312" w:eastAsia="仿宋_GB2312" w:cs="仿宋_GB2312"/>
          <w:snapToGrid w:val="0"/>
          <w:color w:val="auto"/>
          <w:spacing w:val="9"/>
          <w:kern w:val="0"/>
          <w:sz w:val="32"/>
          <w:szCs w:val="32"/>
          <w:lang w:val="en-US" w:eastAsia="en-US" w:bidi="ar-SA"/>
        </w:rPr>
        <w:t>综合上述分析，</w:t>
      </w:r>
      <w:r>
        <w:rPr>
          <w:rFonts w:hint="eastAsia" w:ascii="仿宋_GB2312" w:hAnsi="仿宋_GB2312" w:eastAsia="仿宋_GB2312" w:cs="仿宋_GB2312"/>
          <w:color w:val="auto"/>
          <w:kern w:val="0"/>
          <w:sz w:val="32"/>
          <w:szCs w:val="32"/>
        </w:rPr>
        <w:t>根据评分标准，该指标得分2分</w:t>
      </w:r>
      <w:r>
        <w:rPr>
          <w:rFonts w:hint="eastAsia" w:ascii="仿宋_GB2312" w:hAnsi="仿宋_GB2312" w:eastAsia="仿宋_GB2312" w:cs="仿宋_GB2312"/>
          <w:snapToGrid w:val="0"/>
          <w:color w:val="auto"/>
          <w:spacing w:val="9"/>
          <w:kern w:val="0"/>
          <w:sz w:val="32"/>
          <w:szCs w:val="32"/>
          <w:lang w:val="en-US" w:eastAsia="en-US" w:bidi="ar-SA"/>
        </w:rPr>
        <w:t>。</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76" w:firstLineChars="200"/>
        <w:textAlignment w:val="auto"/>
        <w:rPr>
          <w:rFonts w:hint="eastAsia" w:ascii="仿宋_GB2312" w:hAnsi="仿宋_GB2312" w:eastAsia="仿宋_GB2312" w:cs="仿宋_GB2312"/>
          <w:snapToGrid w:val="0"/>
          <w:color w:val="auto"/>
          <w:spacing w:val="9"/>
          <w:kern w:val="0"/>
          <w:sz w:val="32"/>
          <w:szCs w:val="32"/>
          <w:lang w:val="en-US" w:eastAsia="en-US" w:bidi="ar-SA"/>
        </w:rPr>
      </w:pPr>
      <w:r>
        <w:rPr>
          <w:rFonts w:hint="eastAsia" w:ascii="仿宋_GB2312" w:hAnsi="仿宋_GB2312" w:eastAsia="仿宋_GB2312" w:cs="仿宋_GB2312"/>
          <w:snapToGrid w:val="0"/>
          <w:color w:val="auto"/>
          <w:spacing w:val="9"/>
          <w:kern w:val="0"/>
          <w:sz w:val="32"/>
          <w:szCs w:val="32"/>
          <w:lang w:val="en-US" w:eastAsia="zh-CN" w:bidi="ar-SA"/>
        </w:rPr>
        <w:t>（2）立项程序规范性</w:t>
      </w:r>
      <w:r>
        <w:rPr>
          <w:rFonts w:hint="eastAsia" w:ascii="仿宋_GB2312" w:hAnsi="仿宋_GB2312" w:eastAsia="仿宋_GB2312" w:cs="仿宋_GB2312"/>
          <w:snapToGrid w:val="0"/>
          <w:color w:val="auto"/>
          <w:spacing w:val="9"/>
          <w:kern w:val="0"/>
          <w:sz w:val="32"/>
          <w:szCs w:val="32"/>
          <w:lang w:val="en-US" w:eastAsia="en-US" w:bidi="ar-SA"/>
        </w:rPr>
        <w:t>（指标分值2分，得分</w:t>
      </w:r>
      <w:r>
        <w:rPr>
          <w:rFonts w:hint="eastAsia" w:ascii="仿宋_GB2312" w:hAnsi="仿宋_GB2312" w:eastAsia="仿宋_GB2312" w:cs="仿宋_GB2312"/>
          <w:snapToGrid w:val="0"/>
          <w:color w:val="auto"/>
          <w:spacing w:val="9"/>
          <w:kern w:val="0"/>
          <w:sz w:val="32"/>
          <w:szCs w:val="32"/>
          <w:lang w:val="en-US" w:eastAsia="zh-CN" w:bidi="ar-SA"/>
        </w:rPr>
        <w:t>2</w:t>
      </w:r>
      <w:r>
        <w:rPr>
          <w:rFonts w:hint="eastAsia" w:ascii="仿宋_GB2312" w:hAnsi="仿宋_GB2312" w:eastAsia="仿宋_GB2312" w:cs="仿宋_GB2312"/>
          <w:snapToGrid w:val="0"/>
          <w:color w:val="auto"/>
          <w:spacing w:val="9"/>
          <w:kern w:val="0"/>
          <w:sz w:val="32"/>
          <w:szCs w:val="32"/>
          <w:lang w:val="en-US" w:eastAsia="en-US" w:bidi="ar-SA"/>
        </w:rPr>
        <w:t>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指标说明：项目申请、设立过程是否符合相关要求，用以反映和考核项目立项的规范情况。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评分标准：①项目是否按照规定的程序申请设立；②审批文件、材料是否符合相关要求；③事前是否已经过必要的可行性研究、专家论证、风险评估、绩效评估、集体决策。以上要求全部符合得2分，否则不得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en-US" w:bidi="ar-SA"/>
        </w:rPr>
      </w:pPr>
      <w:r>
        <w:rPr>
          <w:rFonts w:hint="eastAsia" w:ascii="仿宋_GB2312" w:hAnsi="仿宋_GB2312" w:eastAsia="仿宋_GB2312" w:cs="仿宋_GB2312"/>
          <w:snapToGrid w:val="0"/>
          <w:color w:val="auto"/>
          <w:spacing w:val="9"/>
          <w:kern w:val="0"/>
          <w:sz w:val="32"/>
          <w:szCs w:val="32"/>
          <w:lang w:val="en-US" w:eastAsia="zh-CN" w:bidi="ar-SA"/>
        </w:rPr>
        <w:t>评价情况：该项目根据《海南省财政厅关于批复2024年省级部门预算的通知》(琼财支审〔2024〕44号) 等文件要求，项目按照规定的程序申请设立；审批文件、材料符合相关要求；事前已经过必要的可行性研究、绩效评估、集体决策</w:t>
      </w:r>
      <w:r>
        <w:rPr>
          <w:rFonts w:hint="eastAsia" w:ascii="仿宋_GB2312" w:hAnsi="仿宋_GB2312" w:eastAsia="仿宋_GB2312" w:cs="仿宋_GB2312"/>
          <w:snapToGrid w:val="0"/>
          <w:color w:val="auto"/>
          <w:spacing w:val="9"/>
          <w:kern w:val="0"/>
          <w:sz w:val="32"/>
          <w:szCs w:val="32"/>
          <w:lang w:val="en-US" w:eastAsia="en-US" w:bidi="ar-SA"/>
        </w:rPr>
        <w:t>。</w:t>
      </w:r>
    </w:p>
    <w:p>
      <w:pPr>
        <w:pStyle w:val="8"/>
        <w:keepNext w:val="0"/>
        <w:keepLines w:val="0"/>
        <w:pageBreakBefore w:val="0"/>
        <w:widowControl/>
        <w:kinsoku/>
        <w:wordWrap/>
        <w:overflowPunct/>
        <w:topLinePunct w:val="0"/>
        <w:autoSpaceDE/>
        <w:autoSpaceDN/>
        <w:bidi w:val="0"/>
        <w:adjustRightInd/>
        <w:snapToGrid/>
        <w:spacing w:line="590" w:lineRule="exact"/>
        <w:ind w:firstLine="676" w:firstLineChars="200"/>
        <w:jc w:val="both"/>
        <w:textAlignment w:val="auto"/>
        <w:rPr>
          <w:rFonts w:hint="eastAsia" w:ascii="仿宋_GB2312" w:hAnsi="仿宋_GB2312" w:eastAsia="仿宋_GB2312" w:cs="仿宋_GB2312"/>
          <w:snapToGrid w:val="0"/>
          <w:color w:val="auto"/>
          <w:spacing w:val="9"/>
          <w:kern w:val="0"/>
          <w:sz w:val="32"/>
          <w:szCs w:val="32"/>
          <w:lang w:val="en-US" w:eastAsia="en-US" w:bidi="ar-SA"/>
        </w:rPr>
      </w:pPr>
      <w:r>
        <w:rPr>
          <w:rFonts w:hint="eastAsia" w:ascii="仿宋_GB2312" w:hAnsi="仿宋_GB2312" w:eastAsia="仿宋_GB2312" w:cs="仿宋_GB2312"/>
          <w:snapToGrid w:val="0"/>
          <w:color w:val="auto"/>
          <w:spacing w:val="9"/>
          <w:kern w:val="0"/>
          <w:sz w:val="32"/>
          <w:szCs w:val="32"/>
          <w:lang w:val="en-US" w:eastAsia="en-US" w:bidi="ar-SA"/>
        </w:rPr>
        <w:t>综合上述分析，</w:t>
      </w:r>
      <w:r>
        <w:rPr>
          <w:rFonts w:hint="eastAsia" w:ascii="仿宋_GB2312" w:hAnsi="仿宋_GB2312" w:eastAsia="仿宋_GB2312" w:cs="仿宋_GB2312"/>
          <w:color w:val="auto"/>
          <w:kern w:val="0"/>
          <w:sz w:val="32"/>
          <w:szCs w:val="32"/>
        </w:rPr>
        <w:t>根据评分标准，该指标得分2分</w:t>
      </w:r>
      <w:r>
        <w:rPr>
          <w:rFonts w:hint="eastAsia" w:ascii="仿宋_GB2312" w:hAnsi="仿宋_GB2312" w:eastAsia="仿宋_GB2312" w:cs="仿宋_GB2312"/>
          <w:snapToGrid w:val="0"/>
          <w:color w:val="auto"/>
          <w:spacing w:val="9"/>
          <w:kern w:val="0"/>
          <w:sz w:val="32"/>
          <w:szCs w:val="32"/>
          <w:lang w:val="en-US" w:eastAsia="en-US" w:bidi="ar-SA"/>
        </w:rPr>
        <w:t>。</w:t>
      </w:r>
    </w:p>
    <w:p>
      <w:pPr>
        <w:spacing w:before="210" w:line="222" w:lineRule="auto"/>
        <w:ind w:left="659"/>
        <w:rPr>
          <w:rFonts w:hint="eastAsia" w:ascii="仿宋_GB2312" w:hAnsi="仿宋_GB2312" w:eastAsia="仿宋_GB2312" w:cs="仿宋_GB2312"/>
          <w:color w:val="auto"/>
          <w:spacing w:val="35"/>
          <w:sz w:val="32"/>
          <w:szCs w:val="32"/>
        </w:rPr>
      </w:pPr>
      <w:r>
        <w:rPr>
          <w:rFonts w:hint="eastAsia" w:ascii="仿宋_GB2312" w:hAnsi="仿宋_GB2312" w:eastAsia="仿宋_GB2312" w:cs="仿宋_GB2312"/>
          <w:color w:val="auto"/>
          <w:spacing w:val="35"/>
          <w:sz w:val="32"/>
          <w:szCs w:val="32"/>
        </w:rPr>
        <w:t>2</w:t>
      </w:r>
      <w:r>
        <w:rPr>
          <w:rFonts w:hint="eastAsia" w:ascii="仿宋_GB2312" w:hAnsi="仿宋_GB2312" w:eastAsia="仿宋_GB2312" w:cs="仿宋_GB2312"/>
          <w:color w:val="auto"/>
          <w:spacing w:val="35"/>
          <w:sz w:val="32"/>
          <w:szCs w:val="32"/>
          <w:lang w:val="en-US" w:eastAsia="zh-CN"/>
        </w:rPr>
        <w:t>.</w:t>
      </w:r>
      <w:r>
        <w:rPr>
          <w:rFonts w:hint="eastAsia" w:ascii="仿宋_GB2312" w:hAnsi="仿宋_GB2312" w:eastAsia="仿宋_GB2312" w:cs="仿宋_GB2312"/>
          <w:color w:val="auto"/>
          <w:spacing w:val="35"/>
          <w:sz w:val="32"/>
          <w:szCs w:val="32"/>
        </w:rPr>
        <w:t>绩效目标情况分析(满</w:t>
      </w:r>
      <w:r>
        <w:rPr>
          <w:rFonts w:hint="eastAsia" w:ascii="仿宋_GB2312" w:hAnsi="仿宋_GB2312" w:eastAsia="仿宋_GB2312" w:cs="仿宋_GB2312"/>
          <w:color w:val="auto"/>
          <w:spacing w:val="35"/>
          <w:sz w:val="32"/>
          <w:szCs w:val="32"/>
          <w:lang w:val="en-US" w:eastAsia="zh-CN"/>
        </w:rPr>
        <w:t>4</w:t>
      </w:r>
      <w:r>
        <w:rPr>
          <w:rFonts w:hint="eastAsia" w:ascii="仿宋_GB2312" w:hAnsi="仿宋_GB2312" w:eastAsia="仿宋_GB2312" w:cs="仿宋_GB2312"/>
          <w:color w:val="auto"/>
          <w:spacing w:val="35"/>
          <w:sz w:val="32"/>
          <w:szCs w:val="32"/>
        </w:rPr>
        <w:t>分，得</w:t>
      </w:r>
      <w:r>
        <w:rPr>
          <w:rFonts w:hint="eastAsia" w:ascii="仿宋_GB2312" w:hAnsi="仿宋_GB2312" w:eastAsia="仿宋_GB2312" w:cs="仿宋_GB2312"/>
          <w:color w:val="auto"/>
          <w:spacing w:val="35"/>
          <w:sz w:val="32"/>
          <w:szCs w:val="32"/>
          <w:lang w:val="en-US" w:eastAsia="zh-CN"/>
        </w:rPr>
        <w:t>3</w:t>
      </w:r>
      <w:r>
        <w:rPr>
          <w:rFonts w:hint="eastAsia" w:ascii="仿宋_GB2312" w:hAnsi="仿宋_GB2312" w:eastAsia="仿宋_GB2312" w:cs="仿宋_GB2312"/>
          <w:color w:val="auto"/>
          <w:spacing w:val="35"/>
          <w:sz w:val="32"/>
          <w:szCs w:val="32"/>
        </w:rPr>
        <w:t>分)</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（1）绩效目标合理性（指标分值2分，得分2分）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指标说明：项目所设定的绩效目标是否依据充分，是否符合客观实际，用以反映和考核项目绩效目标与项目实施的相符情况。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评分标准：①项目是否有绩效目标；②项目绩效目标与实际工作内容是否具有相关性；③项目预期产出效益和效果是否符合正常的业绩水平；④是否与预算确定的项目投资额或资金量相匹配。以上要求全部符合得2分，否则不得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评价情况：该项目设立了明确的绩效目标；严格按照海南省财政厅关于预算考核工作的相关文件要求申报了项目绩效目标，项目绩效目标与实际工作内容一致；项目预期产出效益和效果符合正常的业绩水平；设定的绩效目标与项目资金量相匹配。</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综合上述分析，</w:t>
      </w:r>
      <w:r>
        <w:rPr>
          <w:rFonts w:hint="eastAsia" w:ascii="仿宋_GB2312" w:hAnsi="仿宋_GB2312" w:eastAsia="仿宋_GB2312" w:cs="仿宋_GB2312"/>
          <w:color w:val="auto"/>
          <w:kern w:val="0"/>
          <w:sz w:val="32"/>
          <w:szCs w:val="32"/>
        </w:rPr>
        <w:t>根据评分标准，该指标得分2分</w:t>
      </w:r>
      <w:r>
        <w:rPr>
          <w:rFonts w:hint="eastAsia" w:ascii="仿宋_GB2312" w:hAnsi="仿宋_GB2312" w:eastAsia="仿宋_GB2312" w:cs="仿宋_GB2312"/>
          <w:snapToGrid w:val="0"/>
          <w:color w:val="auto"/>
          <w:spacing w:val="9"/>
          <w:kern w:val="0"/>
          <w:sz w:val="32"/>
          <w:szCs w:val="32"/>
          <w:lang w:val="en-US" w:eastAsia="zh-CN" w:bidi="ar-SA"/>
        </w:rPr>
        <w:t>。</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7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napToGrid w:val="0"/>
          <w:color w:val="auto"/>
          <w:spacing w:val="9"/>
          <w:kern w:val="0"/>
          <w:sz w:val="32"/>
          <w:szCs w:val="32"/>
          <w:lang w:val="en-US" w:eastAsia="zh-CN" w:bidi="ar-SA"/>
        </w:rPr>
        <w:t>（2）绩效目标明确性（指标分值2分，得分1分）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指标说明：依据绩效目标设定的绩效指标是否清晰、细化、可衡量等，用以反映和考核项目绩效目标的明细化情况。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评分标准：①是否将项目绩效目标细化分解为具体的绩效指标（1分）；②是否通过清晰、可衡量的指标值予以体现（0.5分）；③是否与项目目标任务数或计划数相对应（0.5分）。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color w:val="auto"/>
          <w:spacing w:val="9"/>
          <w:sz w:val="32"/>
          <w:szCs w:val="32"/>
          <w:lang w:val="en-US" w:eastAsia="zh-CN"/>
        </w:rPr>
        <w:t>评价情况：该</w:t>
      </w:r>
      <w:r>
        <w:rPr>
          <w:rFonts w:hint="eastAsia" w:ascii="仿宋_GB2312" w:hAnsi="仿宋_GB2312" w:eastAsia="仿宋_GB2312" w:cs="仿宋_GB2312"/>
          <w:color w:val="auto"/>
          <w:spacing w:val="9"/>
          <w:sz w:val="32"/>
          <w:szCs w:val="32"/>
        </w:rPr>
        <w:t>项目申报时已将项目绩效目标分</w:t>
      </w:r>
      <w:r>
        <w:rPr>
          <w:rFonts w:hint="eastAsia" w:ascii="仿宋_GB2312" w:hAnsi="仿宋_GB2312" w:eastAsia="仿宋_GB2312" w:cs="仿宋_GB2312"/>
          <w:color w:val="auto"/>
          <w:spacing w:val="10"/>
          <w:sz w:val="32"/>
          <w:szCs w:val="32"/>
        </w:rPr>
        <w:t>解为具体的绩效指标</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但部分指标</w:t>
      </w:r>
      <w:r>
        <w:rPr>
          <w:rFonts w:hint="eastAsia" w:ascii="仿宋_GB2312" w:hAnsi="仿宋_GB2312" w:eastAsia="仿宋_GB2312" w:cs="仿宋_GB2312"/>
          <w:color w:val="auto"/>
          <w:spacing w:val="13"/>
          <w:sz w:val="32"/>
          <w:szCs w:val="32"/>
        </w:rPr>
        <w:t>还需要进一步细化、明晰</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snapToGrid w:val="0"/>
          <w:color w:val="auto"/>
          <w:spacing w:val="9"/>
          <w:kern w:val="0"/>
          <w:sz w:val="32"/>
          <w:szCs w:val="32"/>
          <w:lang w:val="en-US" w:eastAsia="zh-CN" w:bidi="ar-SA"/>
        </w:rPr>
        <w:t>本项扣1分</w:t>
      </w:r>
      <w:r>
        <w:rPr>
          <w:rFonts w:hint="eastAsia" w:ascii="仿宋_GB2312" w:hAnsi="仿宋_GB2312" w:eastAsia="仿宋_GB2312" w:cs="仿宋_GB2312"/>
          <w:color w:val="auto"/>
          <w:spacing w:val="10"/>
          <w:sz w:val="32"/>
          <w:szCs w:val="32"/>
        </w:rPr>
        <w:t>；通过比较清晰、可衡量的指标值予以</w:t>
      </w:r>
      <w:r>
        <w:rPr>
          <w:rFonts w:hint="eastAsia" w:ascii="仿宋_GB2312" w:hAnsi="仿宋_GB2312" w:eastAsia="仿宋_GB2312" w:cs="仿宋_GB2312"/>
          <w:color w:val="auto"/>
          <w:spacing w:val="11"/>
          <w:sz w:val="32"/>
          <w:szCs w:val="32"/>
        </w:rPr>
        <w:t>体现；</w:t>
      </w:r>
      <w:r>
        <w:rPr>
          <w:rFonts w:hint="eastAsia" w:ascii="仿宋_GB2312" w:hAnsi="仿宋_GB2312" w:eastAsia="仿宋_GB2312" w:cs="仿宋_GB2312"/>
          <w:color w:val="auto"/>
          <w:spacing w:val="11"/>
          <w:sz w:val="32"/>
          <w:szCs w:val="32"/>
          <w:lang w:val="en-US" w:eastAsia="zh-CN"/>
        </w:rPr>
        <w:t>能够</w:t>
      </w:r>
      <w:r>
        <w:rPr>
          <w:rFonts w:hint="eastAsia" w:ascii="仿宋_GB2312" w:hAnsi="仿宋_GB2312" w:eastAsia="仿宋_GB2312" w:cs="仿宋_GB2312"/>
          <w:color w:val="auto"/>
          <w:spacing w:val="11"/>
          <w:sz w:val="32"/>
          <w:szCs w:val="32"/>
        </w:rPr>
        <w:t>与项目目标任务数或计划数相对应</w:t>
      </w:r>
      <w:r>
        <w:rPr>
          <w:rFonts w:hint="eastAsia" w:ascii="仿宋_GB2312" w:hAnsi="仿宋_GB2312" w:eastAsia="仿宋_GB2312" w:cs="仿宋_GB2312"/>
          <w:snapToGrid w:val="0"/>
          <w:color w:val="auto"/>
          <w:spacing w:val="9"/>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snapToGrid w:val="0"/>
          <w:color w:val="auto"/>
          <w:spacing w:val="9"/>
          <w:kern w:val="0"/>
          <w:sz w:val="32"/>
          <w:szCs w:val="32"/>
          <w:lang w:val="en-US" w:eastAsia="zh-CN" w:bidi="ar-SA"/>
        </w:rPr>
        <w:t>。</w:t>
      </w:r>
    </w:p>
    <w:p>
      <w:pPr>
        <w:spacing w:before="210" w:line="222" w:lineRule="auto"/>
        <w:ind w:left="659"/>
        <w:rPr>
          <w:rFonts w:hint="eastAsia" w:ascii="仿宋_GB2312" w:hAnsi="仿宋_GB2312" w:eastAsia="仿宋_GB2312" w:cs="仿宋_GB2312"/>
          <w:color w:val="auto"/>
          <w:spacing w:val="35"/>
          <w:sz w:val="32"/>
          <w:szCs w:val="32"/>
        </w:rPr>
      </w:pPr>
      <w:r>
        <w:rPr>
          <w:rFonts w:hint="eastAsia" w:ascii="仿宋_GB2312" w:hAnsi="仿宋_GB2312" w:eastAsia="仿宋_GB2312" w:cs="仿宋_GB2312"/>
          <w:color w:val="auto"/>
          <w:spacing w:val="35"/>
          <w:sz w:val="32"/>
          <w:szCs w:val="32"/>
        </w:rPr>
        <w:t>3、资金投入情况分析(满分</w:t>
      </w:r>
      <w:r>
        <w:rPr>
          <w:rFonts w:hint="eastAsia" w:ascii="仿宋_GB2312" w:hAnsi="仿宋_GB2312" w:eastAsia="仿宋_GB2312" w:cs="仿宋_GB2312"/>
          <w:color w:val="auto"/>
          <w:spacing w:val="35"/>
          <w:sz w:val="32"/>
          <w:szCs w:val="32"/>
          <w:lang w:val="en-US" w:eastAsia="zh-CN"/>
        </w:rPr>
        <w:t>4</w:t>
      </w:r>
      <w:r>
        <w:rPr>
          <w:rFonts w:hint="eastAsia" w:ascii="仿宋_GB2312" w:hAnsi="仿宋_GB2312" w:eastAsia="仿宋_GB2312" w:cs="仿宋_GB2312"/>
          <w:color w:val="auto"/>
          <w:spacing w:val="35"/>
          <w:sz w:val="32"/>
          <w:szCs w:val="32"/>
        </w:rPr>
        <w:t>分，得</w:t>
      </w:r>
      <w:r>
        <w:rPr>
          <w:rFonts w:hint="eastAsia" w:ascii="仿宋_GB2312" w:hAnsi="仿宋_GB2312" w:eastAsia="仿宋_GB2312" w:cs="仿宋_GB2312"/>
          <w:color w:val="auto"/>
          <w:spacing w:val="35"/>
          <w:sz w:val="32"/>
          <w:szCs w:val="32"/>
          <w:lang w:val="en-US" w:eastAsia="zh-CN"/>
        </w:rPr>
        <w:t>4</w:t>
      </w:r>
      <w:r>
        <w:rPr>
          <w:rFonts w:hint="eastAsia" w:ascii="仿宋_GB2312" w:hAnsi="仿宋_GB2312" w:eastAsia="仿宋_GB2312" w:cs="仿宋_GB2312"/>
          <w:color w:val="auto"/>
          <w:spacing w:val="35"/>
          <w:sz w:val="32"/>
          <w:szCs w:val="32"/>
        </w:rPr>
        <w:t>分)</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lang w:val="en-US" w:eastAsia="zh-CN"/>
        </w:rPr>
        <w:t>（1）预算编制科学性</w:t>
      </w:r>
      <w:r>
        <w:rPr>
          <w:rFonts w:hint="eastAsia" w:ascii="仿宋_GB2312" w:hAnsi="仿宋_GB2312" w:eastAsia="仿宋_GB2312" w:cs="仿宋_GB2312"/>
          <w:color w:val="auto"/>
          <w:sz w:val="32"/>
          <w:szCs w:val="32"/>
          <w:highlight w:val="none"/>
        </w:rPr>
        <w:t>（指标分值</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分，得分</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指标说明：项目预算编制是否经过科学论证、有明确标准，资金额度与年度目标是否相适应，用以反映和考核项目预算编制的科学性、合理性情况。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①预算编制是否经过科学论证（0.5分）；②预算内容与项目内容是否匹配（0.5分）；③预算额度测算依据是否充分，是否按照标准编制（0.5分）；④预算确定的项目投资额或资金量是否与工作任务相匹配（0.5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spacing w:val="9"/>
          <w:sz w:val="32"/>
          <w:szCs w:val="32"/>
          <w:lang w:val="en-US" w:eastAsia="zh-CN"/>
        </w:rPr>
        <w:t>评价情况：</w:t>
      </w:r>
      <w:r>
        <w:rPr>
          <w:rFonts w:hint="eastAsia" w:ascii="仿宋_GB2312" w:hAnsi="仿宋_GB2312" w:eastAsia="仿宋_GB2312" w:cs="仿宋_GB2312"/>
          <w:color w:val="auto"/>
          <w:spacing w:val="9"/>
          <w:sz w:val="32"/>
          <w:szCs w:val="32"/>
        </w:rPr>
        <w:t>该项目预算编制经过科学</w:t>
      </w:r>
      <w:r>
        <w:rPr>
          <w:rFonts w:hint="eastAsia" w:ascii="仿宋_GB2312" w:hAnsi="仿宋_GB2312" w:eastAsia="仿宋_GB2312" w:cs="仿宋_GB2312"/>
          <w:color w:val="auto"/>
          <w:spacing w:val="8"/>
          <w:sz w:val="32"/>
          <w:szCs w:val="32"/>
        </w:rPr>
        <w:t>论证；预</w:t>
      </w:r>
      <w:r>
        <w:rPr>
          <w:rFonts w:hint="eastAsia" w:ascii="仿宋_GB2312" w:hAnsi="仿宋_GB2312" w:eastAsia="仿宋_GB2312" w:cs="仿宋_GB2312"/>
          <w:color w:val="auto"/>
          <w:spacing w:val="9"/>
          <w:sz w:val="32"/>
          <w:szCs w:val="32"/>
        </w:rPr>
        <w:t>算内容与项目内容</w:t>
      </w:r>
      <w:r>
        <w:rPr>
          <w:rFonts w:hint="eastAsia" w:ascii="仿宋_GB2312" w:hAnsi="仿宋_GB2312" w:eastAsia="仿宋_GB2312" w:cs="仿宋_GB2312"/>
          <w:color w:val="auto"/>
          <w:spacing w:val="9"/>
          <w:sz w:val="32"/>
          <w:szCs w:val="32"/>
          <w:lang w:val="en-US" w:eastAsia="zh-CN"/>
        </w:rPr>
        <w:t>较</w:t>
      </w:r>
      <w:r>
        <w:rPr>
          <w:rFonts w:hint="eastAsia" w:ascii="仿宋_GB2312" w:hAnsi="仿宋_GB2312" w:eastAsia="仿宋_GB2312" w:cs="仿宋_GB2312"/>
          <w:color w:val="auto"/>
          <w:spacing w:val="9"/>
          <w:sz w:val="32"/>
          <w:szCs w:val="32"/>
        </w:rPr>
        <w:t>匹配；预算额度测算依据比较充分，</w:t>
      </w:r>
      <w:r>
        <w:rPr>
          <w:rFonts w:hint="eastAsia" w:ascii="仿宋_GB2312" w:hAnsi="仿宋_GB2312" w:eastAsia="仿宋_GB2312" w:cs="仿宋_GB2312"/>
          <w:color w:val="auto"/>
          <w:spacing w:val="9"/>
          <w:sz w:val="32"/>
          <w:szCs w:val="32"/>
          <w:lang w:val="en-US" w:eastAsia="zh-CN"/>
        </w:rPr>
        <w:t>能够</w:t>
      </w:r>
      <w:r>
        <w:rPr>
          <w:rFonts w:hint="eastAsia" w:ascii="仿宋_GB2312" w:hAnsi="仿宋_GB2312" w:eastAsia="仿宋_GB2312" w:cs="仿宋_GB2312"/>
          <w:color w:val="auto"/>
          <w:spacing w:val="9"/>
          <w:sz w:val="32"/>
          <w:szCs w:val="32"/>
        </w:rPr>
        <w:t>按照计划编制；预算确定的项目资金量与工作任务基本匹配。</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color w:val="auto"/>
          <w:spacing w:val="9"/>
          <w:sz w:val="32"/>
          <w:szCs w:val="32"/>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color w:val="auto"/>
          <w:spacing w:val="9"/>
          <w:sz w:val="32"/>
          <w:szCs w:val="32"/>
        </w:rPr>
        <w:t>。</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lang w:val="en-US" w:eastAsia="zh-CN"/>
        </w:rPr>
        <w:t>（2）资金分配合理性</w:t>
      </w:r>
      <w:r>
        <w:rPr>
          <w:rFonts w:hint="eastAsia" w:ascii="仿宋_GB2312" w:hAnsi="仿宋_GB2312" w:eastAsia="仿宋_GB2312" w:cs="仿宋_GB2312"/>
          <w:color w:val="auto"/>
          <w:sz w:val="32"/>
          <w:szCs w:val="32"/>
          <w:highlight w:val="none"/>
        </w:rPr>
        <w:t>（指标分值</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分，得分</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指标说明：项目预算资金分配是否有测算依据，与补助单位或地方实际是否相适应，用以反映和考核项目预算资金分配的科学性、合理性情况。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评分标准：①预算资金分配依据是否充分（1分）；②资金分配额度是否合理，与项目单位或地方实际是否相适应（1分）。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评价情况：该项目预算资金测算较准确，依据充分；资金分配安排合理，能够满足当年实际资金需求。</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color w:val="auto"/>
          <w:spacing w:val="9"/>
          <w:sz w:val="32"/>
          <w:szCs w:val="32"/>
          <w:lang w:val="en-US" w:eastAsia="zh-CN"/>
        </w:rPr>
        <w:t>。</w:t>
      </w:r>
    </w:p>
    <w:p>
      <w:pPr>
        <w:spacing w:before="205" w:line="224" w:lineRule="auto"/>
        <w:ind w:left="804"/>
        <w:outlineLvl w:val="2"/>
        <w:rPr>
          <w:rFonts w:ascii="楷体" w:hAnsi="楷体" w:eastAsia="楷体" w:cs="楷体"/>
          <w:b/>
          <w:bCs/>
          <w:color w:val="auto"/>
          <w:spacing w:val="27"/>
          <w:sz w:val="31"/>
          <w:szCs w:val="31"/>
        </w:rPr>
      </w:pPr>
      <w:r>
        <w:rPr>
          <w:rFonts w:ascii="楷体" w:hAnsi="楷体" w:eastAsia="楷体" w:cs="楷体"/>
          <w:b/>
          <w:bCs/>
          <w:color w:val="auto"/>
          <w:spacing w:val="27"/>
          <w:sz w:val="31"/>
          <w:szCs w:val="31"/>
        </w:rPr>
        <w:t>(二)项目过程情况</w:t>
      </w:r>
    </w:p>
    <w:p>
      <w:pPr>
        <w:spacing w:before="210" w:line="222" w:lineRule="auto"/>
        <w:ind w:left="659"/>
        <w:rPr>
          <w:rFonts w:hint="eastAsia" w:ascii="仿宋_GB2312" w:hAnsi="仿宋_GB2312" w:eastAsia="仿宋_GB2312" w:cs="仿宋_GB2312"/>
          <w:color w:val="auto"/>
          <w:spacing w:val="35"/>
          <w:sz w:val="32"/>
          <w:szCs w:val="32"/>
        </w:rPr>
      </w:pPr>
      <w:r>
        <w:rPr>
          <w:rFonts w:hint="eastAsia" w:ascii="仿宋_GB2312" w:hAnsi="仿宋_GB2312" w:eastAsia="仿宋_GB2312" w:cs="仿宋_GB2312"/>
          <w:color w:val="auto"/>
          <w:spacing w:val="35"/>
          <w:sz w:val="32"/>
          <w:szCs w:val="32"/>
        </w:rPr>
        <w:t>1</w:t>
      </w:r>
      <w:r>
        <w:rPr>
          <w:rFonts w:hint="eastAsia" w:ascii="仿宋_GB2312" w:hAnsi="仿宋_GB2312" w:eastAsia="仿宋_GB2312" w:cs="仿宋_GB2312"/>
          <w:color w:val="auto"/>
          <w:spacing w:val="35"/>
          <w:sz w:val="32"/>
          <w:szCs w:val="32"/>
          <w:lang w:val="en-US" w:eastAsia="zh-CN"/>
        </w:rPr>
        <w:t>.</w:t>
      </w:r>
      <w:r>
        <w:rPr>
          <w:rFonts w:hint="eastAsia" w:ascii="仿宋_GB2312" w:hAnsi="仿宋_GB2312" w:eastAsia="仿宋_GB2312" w:cs="仿宋_GB2312"/>
          <w:color w:val="auto"/>
          <w:spacing w:val="35"/>
          <w:sz w:val="32"/>
          <w:szCs w:val="32"/>
        </w:rPr>
        <w:t>资金管理情况分析(满分</w:t>
      </w:r>
      <w:r>
        <w:rPr>
          <w:rFonts w:hint="eastAsia" w:ascii="仿宋_GB2312" w:hAnsi="仿宋_GB2312" w:eastAsia="仿宋_GB2312" w:cs="仿宋_GB2312"/>
          <w:color w:val="auto"/>
          <w:spacing w:val="35"/>
          <w:sz w:val="32"/>
          <w:szCs w:val="32"/>
          <w:lang w:val="en-US" w:eastAsia="zh-CN"/>
        </w:rPr>
        <w:t>18</w:t>
      </w:r>
      <w:r>
        <w:rPr>
          <w:rFonts w:hint="eastAsia" w:ascii="仿宋_GB2312" w:hAnsi="仿宋_GB2312" w:eastAsia="仿宋_GB2312" w:cs="仿宋_GB2312"/>
          <w:color w:val="auto"/>
          <w:spacing w:val="35"/>
          <w:sz w:val="32"/>
          <w:szCs w:val="32"/>
        </w:rPr>
        <w:t>分，得1</w:t>
      </w:r>
      <w:r>
        <w:rPr>
          <w:rFonts w:hint="eastAsia" w:ascii="仿宋_GB2312" w:hAnsi="仿宋_GB2312" w:eastAsia="仿宋_GB2312" w:cs="仿宋_GB2312"/>
          <w:color w:val="auto"/>
          <w:spacing w:val="35"/>
          <w:sz w:val="32"/>
          <w:szCs w:val="32"/>
          <w:lang w:val="en-US" w:eastAsia="zh-CN"/>
        </w:rPr>
        <w:t>8</w:t>
      </w:r>
      <w:r>
        <w:rPr>
          <w:rFonts w:hint="eastAsia" w:ascii="仿宋_GB2312" w:hAnsi="仿宋_GB2312" w:eastAsia="仿宋_GB2312" w:cs="仿宋_GB2312"/>
          <w:color w:val="auto"/>
          <w:spacing w:val="35"/>
          <w:sz w:val="32"/>
          <w:szCs w:val="32"/>
        </w:rPr>
        <w:t>分)</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lang w:val="en-US" w:eastAsia="zh-CN"/>
        </w:rPr>
        <w:t>（1)资金到位情况</w:t>
      </w:r>
      <w:r>
        <w:rPr>
          <w:rFonts w:hint="eastAsia" w:ascii="仿宋_GB2312" w:hAnsi="仿宋_GB2312" w:eastAsia="仿宋_GB2312" w:cs="仿宋_GB2312"/>
          <w:color w:val="auto"/>
          <w:sz w:val="32"/>
          <w:szCs w:val="32"/>
          <w:highlight w:val="none"/>
        </w:rPr>
        <w:t>（指标分值</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分，得分</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指标说明：实际到位资金与预算资金的比率，用以反映和考核资金落实情况对项目实施的总体保障程度。</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评分标准：资金到位率=（实际到位资金/预算资金）×100%。全部到位得5分，到位率低于90%得4分，到位率低于70%得3分，到位率低于50%得0分。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评价情况：截止绩效评价基准日，该项目专项资金指标1,365.56万元已全部到位，资金到位率100.00%。</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9"/>
          <w:sz w:val="32"/>
          <w:szCs w:val="32"/>
          <w:lang w:val="en-US" w:eastAsia="zh-CN"/>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color w:val="auto"/>
          <w:spacing w:val="9"/>
          <w:sz w:val="32"/>
          <w:szCs w:val="32"/>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（2）预算执行率（指标分值5分，得分5分）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指标说明：项目预算资金是否按照计划执行，用以反映或考核项目预算执行情况。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评分标准：预算执行率=（预算执行数/预算批复数）×100%。执行率不低于90%得5分，执行率低于80%得4分，到位率低于70%得3分，到位率低于60%得0分。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评价情况：截止绩效评价基准日，该项目实际支出金额为1,360.03万元，资金执行率=（1360.03/1365.56）×100%=99.6%。</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color w:val="auto"/>
          <w:spacing w:val="9"/>
          <w:sz w:val="32"/>
          <w:szCs w:val="32"/>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（3）资金使用合规性（指标分值8分，得分8分）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指标说明：项目资金使用是否符合相关的财务管理制度规定，用以反映和考核项目资金的规范运行情况。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①是否符合国家财经法规和财务管理制度以及有关专项资金管理办法的规定（2分）；②资金的拨付是否有完整的审批程序和手续（2分）；③是否符合项目预算批复或合同规定的用途（2分）；④是否存在截留、挤占、挪用、虚列支出等情况（2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价情况：该项目支出符合国家财经法规和财务管理制度以及有关专项资金管理办法的规定；资金的拨付有完整的审批程序和手续；符合项目预算批复规定的用途；未发现截留、挤占、挪用、虚列、超标准支出等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76" w:firstLineChars="200"/>
        <w:jc w:val="both"/>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snapToGrid w:val="0"/>
          <w:color w:val="auto"/>
          <w:spacing w:val="9"/>
          <w:kern w:val="0"/>
          <w:sz w:val="32"/>
          <w:szCs w:val="32"/>
          <w:lang w:val="en-US" w:eastAsia="zh-CN" w:bidi="ar-SA"/>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snapToGrid w:val="0"/>
          <w:color w:val="auto"/>
          <w:spacing w:val="9"/>
          <w:kern w:val="0"/>
          <w:sz w:val="32"/>
          <w:szCs w:val="32"/>
          <w:lang w:val="en-US" w:eastAsia="zh-CN" w:bidi="ar-SA"/>
        </w:rPr>
        <w:t>。</w:t>
      </w:r>
    </w:p>
    <w:p>
      <w:pPr>
        <w:spacing w:before="210" w:line="222" w:lineRule="auto"/>
        <w:ind w:left="659"/>
        <w:rPr>
          <w:rFonts w:hint="eastAsia" w:ascii="仿宋_GB2312" w:hAnsi="仿宋_GB2312" w:eastAsia="仿宋_GB2312" w:cs="仿宋_GB2312"/>
          <w:color w:val="auto"/>
          <w:spacing w:val="35"/>
          <w:sz w:val="32"/>
          <w:szCs w:val="32"/>
        </w:rPr>
      </w:pPr>
      <w:r>
        <w:rPr>
          <w:rFonts w:hint="eastAsia" w:ascii="仿宋_GB2312" w:hAnsi="仿宋_GB2312" w:eastAsia="仿宋_GB2312" w:cs="仿宋_GB2312"/>
          <w:color w:val="auto"/>
          <w:spacing w:val="35"/>
          <w:sz w:val="32"/>
          <w:szCs w:val="32"/>
        </w:rPr>
        <w:t>2</w:t>
      </w:r>
      <w:r>
        <w:rPr>
          <w:rFonts w:hint="eastAsia" w:ascii="仿宋_GB2312" w:hAnsi="仿宋_GB2312" w:eastAsia="仿宋_GB2312" w:cs="仿宋_GB2312"/>
          <w:color w:val="auto"/>
          <w:spacing w:val="35"/>
          <w:sz w:val="32"/>
          <w:szCs w:val="32"/>
          <w:lang w:val="en-US" w:eastAsia="zh-CN"/>
        </w:rPr>
        <w:t>.</w:t>
      </w:r>
      <w:r>
        <w:rPr>
          <w:rFonts w:hint="eastAsia" w:ascii="仿宋_GB2312" w:hAnsi="仿宋_GB2312" w:eastAsia="仿宋_GB2312" w:cs="仿宋_GB2312"/>
          <w:color w:val="auto"/>
          <w:spacing w:val="35"/>
          <w:sz w:val="32"/>
          <w:szCs w:val="32"/>
        </w:rPr>
        <w:t>组织实施情况分析(满分1</w:t>
      </w:r>
      <w:r>
        <w:rPr>
          <w:rFonts w:hint="eastAsia" w:ascii="仿宋_GB2312" w:hAnsi="仿宋_GB2312" w:eastAsia="仿宋_GB2312" w:cs="仿宋_GB2312"/>
          <w:color w:val="auto"/>
          <w:spacing w:val="35"/>
          <w:sz w:val="32"/>
          <w:szCs w:val="32"/>
          <w:lang w:val="en-US" w:eastAsia="zh-CN"/>
        </w:rPr>
        <w:t>0</w:t>
      </w:r>
      <w:r>
        <w:rPr>
          <w:rFonts w:hint="eastAsia" w:ascii="仿宋_GB2312" w:hAnsi="仿宋_GB2312" w:eastAsia="仿宋_GB2312" w:cs="仿宋_GB2312"/>
          <w:color w:val="auto"/>
          <w:spacing w:val="35"/>
          <w:sz w:val="32"/>
          <w:szCs w:val="32"/>
        </w:rPr>
        <w:t>分，得</w:t>
      </w:r>
      <w:r>
        <w:rPr>
          <w:rFonts w:hint="eastAsia" w:ascii="仿宋_GB2312" w:hAnsi="仿宋_GB2312" w:eastAsia="仿宋_GB2312" w:cs="仿宋_GB2312"/>
          <w:color w:val="auto"/>
          <w:spacing w:val="35"/>
          <w:sz w:val="32"/>
          <w:szCs w:val="32"/>
          <w:lang w:val="en-US" w:eastAsia="zh-CN"/>
        </w:rPr>
        <w:t>10</w:t>
      </w:r>
      <w:r>
        <w:rPr>
          <w:rFonts w:hint="eastAsia" w:ascii="仿宋_GB2312" w:hAnsi="仿宋_GB2312" w:eastAsia="仿宋_GB2312" w:cs="仿宋_GB2312"/>
          <w:color w:val="auto"/>
          <w:spacing w:val="35"/>
          <w:sz w:val="32"/>
          <w:szCs w:val="32"/>
        </w:rPr>
        <w:t>分)</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lang w:val="en-US" w:eastAsia="zh-CN"/>
        </w:rPr>
        <w:t>（1）管理制度健全性（指标分值5分，得分5分）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指标说明：项目实施单位的财务和业务管理制度是否健全，用以反映和考核财务和业务管理制度对项目顺利实施的保障情况。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评分标准：①是否已制定或具有相应的财务和业务管理制度（3分）；②财务和业务管理制度是否合法、合规、完整（2分）。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评价情况：三亚市城郊人民法院本级制定了《三亚市城郊人民法院内部控制规范手册》等内部管理制度，管理制度合法、合规、完整，为项目的实施提供了有效的制度保障。</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color w:val="auto"/>
          <w:spacing w:val="9"/>
          <w:sz w:val="32"/>
          <w:szCs w:val="32"/>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lang w:val="en-US" w:eastAsia="zh-CN"/>
        </w:rPr>
        <w:t>（2）制度执行有效性（指标分值5分，得分5分）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指标说明：项目实施是否符合相关管理规定，用以反映和考核相关管理制度的有效执行情况。</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分标准：①是否遵守相关法律法规和相关管理规定（1分）；②项目调整及支出调整手续是否完备（1分）；③项目合同书、验收报告、技术鉴定等资料是否齐全并及时归档（2分）；④项目实施的人员条件、场地设备、信息支撑等是否落实到位（1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评价情况：三亚市城郊人民法院本级严格按照国家及地方相关法律法规和内控制度有关规定开展采购、验收、付款等业务。每笔资金开支，须经具体实施部门提出申请，领导审签，国库支付中心审核，经过层层严格把关，保证了资金支付安全、合法、合规，有效地加强了项目资金管理。</w:t>
      </w:r>
    </w:p>
    <w:p>
      <w:pPr>
        <w:spacing w:before="186" w:line="311" w:lineRule="auto"/>
        <w:ind w:right="55" w:firstLine="649"/>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z w:val="32"/>
          <w:szCs w:val="32"/>
          <w:highlight w:val="none"/>
        </w:rPr>
        <w:t>综合上述分析，</w:t>
      </w:r>
      <w:r>
        <w:rPr>
          <w:rFonts w:hint="eastAsia" w:ascii="仿宋_GB2312" w:hAnsi="仿宋_GB2312" w:eastAsia="仿宋_GB2312" w:cs="仿宋_GB2312"/>
          <w:color w:val="auto"/>
          <w:kern w:val="0"/>
          <w:sz w:val="32"/>
          <w:szCs w:val="32"/>
        </w:rPr>
        <w:t>根据评分标准，该指标得分</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分</w:t>
      </w:r>
      <w:r>
        <w:rPr>
          <w:rFonts w:hint="eastAsia" w:ascii="仿宋_GB2312" w:hAnsi="仿宋_GB2312" w:eastAsia="仿宋_GB2312" w:cs="仿宋_GB2312"/>
          <w:color w:val="auto"/>
          <w:sz w:val="32"/>
          <w:szCs w:val="32"/>
          <w:highlight w:val="none"/>
        </w:rPr>
        <w:t>。</w:t>
      </w:r>
    </w:p>
    <w:p>
      <w:pPr>
        <w:spacing w:before="205" w:line="224" w:lineRule="auto"/>
        <w:ind w:left="804"/>
        <w:outlineLvl w:val="2"/>
        <w:rPr>
          <w:rFonts w:ascii="楷体" w:hAnsi="楷体" w:eastAsia="楷体" w:cs="楷体"/>
          <w:b/>
          <w:bCs/>
          <w:color w:val="auto"/>
          <w:spacing w:val="27"/>
          <w:sz w:val="31"/>
          <w:szCs w:val="31"/>
        </w:rPr>
      </w:pPr>
      <w:r>
        <w:rPr>
          <w:rFonts w:ascii="楷体" w:hAnsi="楷体" w:eastAsia="楷体" w:cs="楷体"/>
          <w:b/>
          <w:bCs/>
          <w:color w:val="auto"/>
          <w:spacing w:val="27"/>
          <w:sz w:val="31"/>
          <w:szCs w:val="31"/>
        </w:rPr>
        <w:t>(三)项目绩效情况</w:t>
      </w:r>
    </w:p>
    <w:p>
      <w:pPr>
        <w:spacing w:before="210" w:line="222" w:lineRule="auto"/>
        <w:ind w:left="65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5"/>
          <w:sz w:val="32"/>
          <w:szCs w:val="32"/>
        </w:rPr>
        <w:t>1</w:t>
      </w:r>
      <w:r>
        <w:rPr>
          <w:rFonts w:hint="eastAsia" w:ascii="仿宋_GB2312" w:hAnsi="仿宋_GB2312" w:eastAsia="仿宋_GB2312" w:cs="仿宋_GB2312"/>
          <w:color w:val="auto"/>
          <w:spacing w:val="35"/>
          <w:sz w:val="32"/>
          <w:szCs w:val="32"/>
          <w:lang w:val="en-US" w:eastAsia="zh-CN"/>
        </w:rPr>
        <w:t>.</w:t>
      </w:r>
      <w:r>
        <w:rPr>
          <w:rFonts w:hint="eastAsia" w:ascii="仿宋_GB2312" w:hAnsi="仿宋_GB2312" w:eastAsia="仿宋_GB2312" w:cs="仿宋_GB2312"/>
          <w:color w:val="auto"/>
          <w:spacing w:val="35"/>
          <w:sz w:val="32"/>
          <w:szCs w:val="32"/>
        </w:rPr>
        <w:t>项目</w:t>
      </w:r>
      <w:r>
        <w:rPr>
          <w:rFonts w:hint="eastAsia" w:ascii="仿宋_GB2312" w:hAnsi="仿宋_GB2312" w:eastAsia="仿宋_GB2312" w:cs="仿宋_GB2312"/>
          <w:color w:val="auto"/>
          <w:spacing w:val="35"/>
          <w:sz w:val="32"/>
          <w:szCs w:val="32"/>
          <w:lang w:val="en-US" w:eastAsia="zh-CN"/>
        </w:rPr>
        <w:t>产出</w:t>
      </w:r>
      <w:r>
        <w:rPr>
          <w:rFonts w:hint="eastAsia" w:ascii="仿宋_GB2312" w:hAnsi="仿宋_GB2312" w:eastAsia="仿宋_GB2312" w:cs="仿宋_GB2312"/>
          <w:color w:val="auto"/>
          <w:spacing w:val="35"/>
          <w:sz w:val="32"/>
          <w:szCs w:val="32"/>
        </w:rPr>
        <w:t>情况分析(满分</w:t>
      </w:r>
      <w:r>
        <w:rPr>
          <w:rFonts w:hint="eastAsia" w:ascii="仿宋_GB2312" w:hAnsi="仿宋_GB2312" w:eastAsia="仿宋_GB2312" w:cs="仿宋_GB2312"/>
          <w:color w:val="auto"/>
          <w:spacing w:val="35"/>
          <w:sz w:val="32"/>
          <w:szCs w:val="32"/>
          <w:lang w:val="en-US" w:eastAsia="zh-CN"/>
        </w:rPr>
        <w:t>30</w:t>
      </w:r>
      <w:r>
        <w:rPr>
          <w:rFonts w:hint="eastAsia" w:ascii="仿宋_GB2312" w:hAnsi="仿宋_GB2312" w:eastAsia="仿宋_GB2312" w:cs="仿宋_GB2312"/>
          <w:color w:val="auto"/>
          <w:spacing w:val="35"/>
          <w:sz w:val="32"/>
          <w:szCs w:val="32"/>
        </w:rPr>
        <w:t>分，得</w:t>
      </w:r>
      <w:r>
        <w:rPr>
          <w:rFonts w:hint="eastAsia" w:ascii="仿宋_GB2312" w:hAnsi="仿宋_GB2312" w:eastAsia="仿宋_GB2312" w:cs="仿宋_GB2312"/>
          <w:color w:val="auto"/>
          <w:spacing w:val="35"/>
          <w:sz w:val="32"/>
          <w:szCs w:val="32"/>
          <w:lang w:val="en-US" w:eastAsia="zh-CN"/>
        </w:rPr>
        <w:t>30</w:t>
      </w:r>
      <w:r>
        <w:rPr>
          <w:rFonts w:hint="eastAsia" w:ascii="仿宋_GB2312" w:hAnsi="仿宋_GB2312" w:eastAsia="仿宋_GB2312" w:cs="仿宋_GB2312"/>
          <w:color w:val="auto"/>
          <w:spacing w:val="35"/>
          <w:sz w:val="32"/>
          <w:szCs w:val="32"/>
        </w:rPr>
        <w:t>分)</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pacing w:val="6"/>
          <w:sz w:val="32"/>
          <w:szCs w:val="32"/>
          <w:lang w:val="en-US" w:eastAsia="zh-CN"/>
        </w:rPr>
      </w:pPr>
      <w:bookmarkStart w:id="0" w:name="_Toc30677"/>
      <w:r>
        <w:rPr>
          <w:rFonts w:hint="eastAsia" w:ascii="仿宋_GB2312" w:hAnsi="仿宋_GB2312" w:eastAsia="仿宋_GB2312" w:cs="仿宋_GB2312"/>
          <w:color w:val="auto"/>
          <w:spacing w:val="6"/>
          <w:sz w:val="32"/>
          <w:szCs w:val="32"/>
          <w:lang w:val="en-US" w:eastAsia="zh-CN"/>
        </w:rPr>
        <w:t>（1）产出数量（指标分值15分，得分15分）</w:t>
      </w:r>
      <w:bookmarkEnd w:id="0"/>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根据项目产出数量完成情况与绩效目标对比，截止绩效评价基准日，2024年三亚市城郊人民法院本级执法办案业务项目案卷扫描页数3090745页，超过设定的绩效目标值，产出指标完成率100%。</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综合上述分析，指标分值15分，得分15分。</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64"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（2）产出数量（指标分值15分，得分15分）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根据项目产出质量完成情况与绩效目标对比，截止绩效评价基准日，</w:t>
      </w:r>
      <w:r>
        <w:rPr>
          <w:rFonts w:hint="eastAsia" w:ascii="仿宋_GB2312" w:hAnsi="仿宋_GB2312" w:eastAsia="仿宋_GB2312" w:cs="仿宋_GB2312"/>
          <w:b w:val="0"/>
          <w:bCs w:val="0"/>
          <w:color w:val="auto"/>
          <w:kern w:val="2"/>
          <w:sz w:val="32"/>
          <w:szCs w:val="32"/>
          <w:lang w:val="en-US" w:eastAsia="zh-CN" w:bidi="ar-SA"/>
        </w:rPr>
        <w:t>2024年</w:t>
      </w:r>
      <w:r>
        <w:rPr>
          <w:rFonts w:hint="eastAsia" w:ascii="仿宋_GB2312" w:hAnsi="仿宋_GB2312" w:eastAsia="仿宋_GB2312" w:cs="仿宋_GB2312"/>
          <w:color w:val="auto"/>
          <w:spacing w:val="9"/>
          <w:sz w:val="32"/>
          <w:szCs w:val="32"/>
          <w:lang w:val="en-US" w:eastAsia="zh-CN"/>
        </w:rPr>
        <w:t>三亚市城郊人民法院本级</w:t>
      </w:r>
      <w:r>
        <w:rPr>
          <w:rFonts w:hint="eastAsia" w:ascii="仿宋_GB2312" w:hAnsi="仿宋_GB2312" w:eastAsia="仿宋_GB2312" w:cs="仿宋_GB2312"/>
          <w:b w:val="0"/>
          <w:bCs w:val="0"/>
          <w:color w:val="auto"/>
          <w:kern w:val="2"/>
          <w:sz w:val="32"/>
          <w:szCs w:val="32"/>
          <w:lang w:val="en-US" w:eastAsia="zh-CN" w:bidi="ar-SA"/>
        </w:rPr>
        <w:t>执法办案业务项目陪审员补助支持案件数5100件，</w:t>
      </w:r>
      <w:r>
        <w:rPr>
          <w:rFonts w:hint="eastAsia" w:ascii="仿宋_GB2312" w:hAnsi="仿宋_GB2312" w:eastAsia="仿宋_GB2312" w:cs="仿宋_GB2312"/>
          <w:color w:val="auto"/>
          <w:spacing w:val="9"/>
          <w:sz w:val="32"/>
          <w:szCs w:val="32"/>
          <w:lang w:val="en-US" w:eastAsia="zh-CN"/>
        </w:rPr>
        <w:t>超过设定的绩效目标值，</w:t>
      </w:r>
      <w:r>
        <w:rPr>
          <w:rFonts w:hint="eastAsia" w:ascii="仿宋_GB2312" w:hAnsi="仿宋_GB2312" w:eastAsia="仿宋_GB2312" w:cs="仿宋_GB2312"/>
          <w:b w:val="0"/>
          <w:bCs w:val="0"/>
          <w:color w:val="auto"/>
          <w:kern w:val="2"/>
          <w:sz w:val="32"/>
          <w:szCs w:val="32"/>
          <w:lang w:val="en-US" w:eastAsia="zh-CN" w:bidi="ar-SA"/>
        </w:rPr>
        <w:t>产出指标完成率100%</w:t>
      </w:r>
      <w:r>
        <w:rPr>
          <w:rFonts w:hint="eastAsia" w:ascii="仿宋_GB2312" w:hAnsi="仿宋_GB2312" w:eastAsia="仿宋_GB2312" w:cs="仿宋_GB2312"/>
          <w:color w:val="auto"/>
          <w:spacing w:val="9"/>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综合上述分析，指标分值15分，得分15分。</w:t>
      </w:r>
    </w:p>
    <w:p>
      <w:pPr>
        <w:spacing w:before="210" w:line="222" w:lineRule="auto"/>
        <w:ind w:left="659"/>
        <w:rPr>
          <w:rFonts w:hint="eastAsia" w:ascii="仿宋_GB2312" w:hAnsi="仿宋_GB2312" w:eastAsia="仿宋_GB2312" w:cs="仿宋_GB2312"/>
          <w:color w:val="auto"/>
          <w:spacing w:val="35"/>
          <w:sz w:val="32"/>
          <w:szCs w:val="32"/>
        </w:rPr>
      </w:pPr>
      <w:r>
        <w:rPr>
          <w:rFonts w:hint="eastAsia" w:ascii="仿宋_GB2312" w:hAnsi="仿宋_GB2312" w:eastAsia="仿宋_GB2312" w:cs="仿宋_GB2312"/>
          <w:color w:val="auto"/>
          <w:spacing w:val="35"/>
          <w:sz w:val="32"/>
          <w:szCs w:val="32"/>
          <w:lang w:val="en-US" w:eastAsia="zh-CN"/>
        </w:rPr>
        <w:t>2.</w:t>
      </w:r>
      <w:r>
        <w:rPr>
          <w:rFonts w:hint="eastAsia" w:ascii="仿宋_GB2312" w:hAnsi="仿宋_GB2312" w:eastAsia="仿宋_GB2312" w:cs="仿宋_GB2312"/>
          <w:color w:val="auto"/>
          <w:spacing w:val="35"/>
          <w:sz w:val="32"/>
          <w:szCs w:val="32"/>
        </w:rPr>
        <w:t>项目效益情况分析(满分15分，得15分)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根据项目产出质量完成情况与绩效目标对比，截止绩效评价基准日，2024年三亚市城郊人民法院本级执法办案业务项目结案率为91.25%，超过设定的绩效目标值，效益指标完成率100%。</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综合上述分析，指标分值15分，得分15分。</w:t>
      </w:r>
    </w:p>
    <w:p>
      <w:pPr>
        <w:spacing w:before="210" w:line="222" w:lineRule="auto"/>
        <w:ind w:left="659"/>
        <w:rPr>
          <w:rFonts w:hint="eastAsia" w:ascii="仿宋_GB2312" w:hAnsi="仿宋_GB2312" w:eastAsia="仿宋_GB2312" w:cs="仿宋_GB2312"/>
          <w:color w:val="auto"/>
          <w:spacing w:val="35"/>
          <w:sz w:val="32"/>
          <w:szCs w:val="32"/>
          <w:lang w:val="en-US" w:eastAsia="zh-CN"/>
        </w:rPr>
      </w:pPr>
      <w:r>
        <w:rPr>
          <w:rFonts w:hint="eastAsia" w:ascii="仿宋_GB2312" w:hAnsi="仿宋_GB2312" w:eastAsia="仿宋_GB2312" w:cs="仿宋_GB2312"/>
          <w:color w:val="auto"/>
          <w:spacing w:val="35"/>
          <w:sz w:val="32"/>
          <w:szCs w:val="32"/>
          <w:lang w:val="en-US" w:eastAsia="zh-CN"/>
        </w:rPr>
        <w:t>3.满意度指标(满分15分，得15分)</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通过采取问卷调查的方式进行了满意度调查，共随机发放了20份调查问卷，最终得分取所有问卷得分的平均得分，最终总分为95分(满意度为95%),完成绩效目标。</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 w:hAnsi="仿宋" w:eastAsia="仿宋" w:cs="仿宋"/>
          <w:color w:val="auto"/>
          <w:spacing w:val="9"/>
          <w:sz w:val="31"/>
          <w:szCs w:val="31"/>
          <w:lang w:val="en-US" w:eastAsia="zh-CN"/>
        </w:rPr>
      </w:pPr>
      <w:r>
        <w:rPr>
          <w:rFonts w:hint="eastAsia" w:ascii="仿宋_GB2312" w:hAnsi="仿宋_GB2312" w:eastAsia="仿宋_GB2312" w:cs="仿宋_GB2312"/>
          <w:color w:val="auto"/>
          <w:spacing w:val="9"/>
          <w:sz w:val="32"/>
          <w:szCs w:val="32"/>
          <w:lang w:val="en-US" w:eastAsia="zh-CN"/>
        </w:rPr>
        <w:t>综合上述分析，指标分值15分，得分15分。</w:t>
      </w:r>
    </w:p>
    <w:p>
      <w:pPr>
        <w:pStyle w:val="10"/>
        <w:rPr>
          <w:rFonts w:hint="eastAsia"/>
          <w:color w:val="auto"/>
          <w:lang w:val="en-US" w:eastAsia="zh-CN"/>
        </w:rPr>
      </w:pPr>
    </w:p>
    <w:p>
      <w:pPr>
        <w:spacing w:before="1" w:line="220" w:lineRule="auto"/>
        <w:ind w:left="664"/>
        <w:outlineLvl w:val="2"/>
        <w:rPr>
          <w:rFonts w:ascii="黑体" w:hAnsi="黑体" w:eastAsia="黑体" w:cs="黑体"/>
          <w:b/>
          <w:bCs/>
          <w:color w:val="auto"/>
          <w:spacing w:val="6"/>
          <w:sz w:val="31"/>
          <w:szCs w:val="31"/>
        </w:rPr>
      </w:pPr>
      <w:r>
        <w:rPr>
          <w:rFonts w:ascii="黑体" w:hAnsi="黑体" w:eastAsia="黑体" w:cs="黑体"/>
          <w:b/>
          <w:bCs/>
          <w:color w:val="auto"/>
          <w:spacing w:val="6"/>
          <w:sz w:val="31"/>
          <w:szCs w:val="31"/>
        </w:rPr>
        <w:t>五、主要经验及做法、存在的问题及原因分析</w:t>
      </w:r>
    </w:p>
    <w:p>
      <w:pPr>
        <w:spacing w:before="203" w:line="229" w:lineRule="auto"/>
        <w:ind w:left="849"/>
        <w:outlineLvl w:val="2"/>
        <w:rPr>
          <w:rFonts w:ascii="楷体" w:hAnsi="楷体" w:eastAsia="楷体" w:cs="楷体"/>
          <w:color w:val="auto"/>
          <w:sz w:val="31"/>
          <w:szCs w:val="31"/>
        </w:rPr>
      </w:pPr>
      <w:r>
        <w:rPr>
          <w:rFonts w:ascii="楷体" w:hAnsi="楷体" w:eastAsia="楷体" w:cs="楷体"/>
          <w:b/>
          <w:bCs/>
          <w:color w:val="auto"/>
          <w:spacing w:val="22"/>
          <w:sz w:val="31"/>
          <w:szCs w:val="31"/>
        </w:rPr>
        <w:t>(一)项目实施经验及做法</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严格按照项目管理制度和财务管理制度实施，对项目管理和监督，确保项目运行规范，资金使用合法合规；认真把关各项经费支出，规范专项资金管理，在具体实施过程中，坚持严格审批程序，不按程序申报的不批、条件不符的不批、手续缺项的不批；建立资金专户，专款专用，防止专项资金被挤占、挪用情况的发生；同时，采用国库集中支付，设立专项资金明细科目，实行报账制，专门核算，保证财政资金安全，提高财政资金的投资效益。</w:t>
      </w:r>
    </w:p>
    <w:p>
      <w:pPr>
        <w:spacing w:before="203" w:line="229" w:lineRule="auto"/>
        <w:ind w:left="849"/>
        <w:outlineLvl w:val="2"/>
        <w:rPr>
          <w:rFonts w:ascii="楷体" w:hAnsi="楷体" w:eastAsia="楷体" w:cs="楷体"/>
          <w:b/>
          <w:bCs/>
          <w:color w:val="auto"/>
          <w:spacing w:val="22"/>
          <w:sz w:val="31"/>
          <w:szCs w:val="31"/>
        </w:rPr>
      </w:pPr>
      <w:r>
        <w:rPr>
          <w:rFonts w:ascii="楷体" w:hAnsi="楷体" w:eastAsia="楷体" w:cs="楷体"/>
          <w:b/>
          <w:bCs/>
          <w:color w:val="auto"/>
          <w:spacing w:val="22"/>
          <w:sz w:val="31"/>
          <w:szCs w:val="31"/>
        </w:rPr>
        <w:t>(二)存在的问题及原因分析</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项目支出进度序时性及绩效目标合理性、科学性仍有欠缺，今后我院将在预算下达后，及时向负责相关支出项目的处室传达预算下达情况，并研究年度支出规划，及时跟进规划执行情况，达到支付条件的项目及时支出。日常干警个人支出项目，将严格报销时限，督促干警及时报销支出。由于该项目是我院办案支出，故绩效目标应更加体现支出产生的办案效果，故今后将优化绩效目标，使之能更加科学合理，更好地体现项目支出对于案件审判执行的支撑效果。</w:t>
      </w:r>
    </w:p>
    <w:p>
      <w:pPr>
        <w:pStyle w:val="10"/>
        <w:rPr>
          <w:rFonts w:hint="eastAsia"/>
          <w:color w:val="auto"/>
          <w:lang w:val="en-US" w:eastAsia="zh-CN"/>
        </w:rPr>
      </w:pPr>
    </w:p>
    <w:p>
      <w:pPr>
        <w:spacing w:before="1" w:line="220" w:lineRule="auto"/>
        <w:ind w:left="664"/>
        <w:outlineLvl w:val="2"/>
        <w:rPr>
          <w:rFonts w:ascii="黑体" w:hAnsi="黑体" w:eastAsia="黑体" w:cs="黑体"/>
          <w:b/>
          <w:bCs/>
          <w:color w:val="auto"/>
          <w:spacing w:val="6"/>
          <w:sz w:val="31"/>
          <w:szCs w:val="31"/>
        </w:rPr>
      </w:pPr>
      <w:r>
        <w:rPr>
          <w:rFonts w:ascii="黑体" w:hAnsi="黑体" w:eastAsia="黑体" w:cs="黑体"/>
          <w:b/>
          <w:bCs/>
          <w:color w:val="auto"/>
          <w:spacing w:val="6"/>
          <w:sz w:val="31"/>
          <w:szCs w:val="31"/>
        </w:rPr>
        <w:t>六、有关建议</w:t>
      </w:r>
    </w:p>
    <w:p>
      <w:pPr>
        <w:keepNext w:val="0"/>
        <w:keepLines w:val="0"/>
        <w:pageBreakBefore w:val="0"/>
        <w:widowControl w:val="0"/>
        <w:kinsoku/>
        <w:wordWrap/>
        <w:overflowPunct/>
        <w:topLinePunct w:val="0"/>
        <w:autoSpaceDE/>
        <w:autoSpaceDN/>
        <w:bidi w:val="0"/>
        <w:adjustRightInd/>
        <w:snapToGrid/>
        <w:spacing w:line="590" w:lineRule="exact"/>
        <w:ind w:firstLine="676" w:firstLineChars="200"/>
        <w:textAlignment w:val="auto"/>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color w:val="auto"/>
          <w:spacing w:val="9"/>
          <w:sz w:val="32"/>
          <w:szCs w:val="32"/>
          <w:lang w:val="en-US" w:eastAsia="zh-CN"/>
        </w:rPr>
        <w:t>一是全面落实上级法院各项工作部署，忠实履行宪法法 律赋予的职责使命，充分发挥政府转移支付专项资金效益， 确保专款专用。通过落实经费保障，切实提升办案质效，着力建设智慧法院，努力推动法院工作在新时代实现新发展；二是细化预算编制工作，认真做好项目资金各明细支出预算的编制，进一步提高预算编制的科学性、合理性、严谨性和可控性；三是加强财务监控和情况反馈，对项目资金进行认真详细事前、事中、事后的检查分析，确保项目资金安全有效运行；四是严格执行预算计划，切实做到当年经费当年开支；五是提高指标值设置的科学性，在绩效指标选定后，充分考虑法院工作特殊性及不确定性，参考相关历史标准、行业标准、计划标准等，在考虑可实现性的基础上科学设定指标值，充分预估项目产出和效益。</w:t>
      </w:r>
    </w:p>
    <w:p>
      <w:pPr>
        <w:pStyle w:val="10"/>
        <w:rPr>
          <w:rFonts w:hint="eastAsia"/>
          <w:color w:val="auto"/>
          <w:lang w:val="en-US" w:eastAsia="zh-CN"/>
        </w:rPr>
      </w:pPr>
    </w:p>
    <w:p>
      <w:pPr>
        <w:spacing w:before="1" w:line="220" w:lineRule="auto"/>
        <w:ind w:left="664"/>
        <w:outlineLvl w:val="2"/>
        <w:rPr>
          <w:rFonts w:ascii="黑体" w:hAnsi="黑体" w:eastAsia="黑体" w:cs="黑体"/>
          <w:b/>
          <w:bCs/>
          <w:color w:val="auto"/>
          <w:spacing w:val="6"/>
          <w:sz w:val="31"/>
          <w:szCs w:val="31"/>
        </w:rPr>
      </w:pPr>
      <w:r>
        <w:rPr>
          <w:rFonts w:ascii="黑体" w:hAnsi="黑体" w:eastAsia="黑体" w:cs="黑体"/>
          <w:b/>
          <w:bCs/>
          <w:color w:val="auto"/>
          <w:spacing w:val="6"/>
          <w:sz w:val="31"/>
          <w:szCs w:val="31"/>
        </w:rPr>
        <w:t>七、其他需要说明的问题</w:t>
      </w:r>
    </w:p>
    <w:p>
      <w:pPr>
        <w:spacing w:before="212" w:line="222" w:lineRule="auto"/>
        <w:ind w:left="6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sz w:val="32"/>
          <w:szCs w:val="32"/>
        </w:rPr>
        <w:t>无其他需要说明的问题。</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eastAsia="仿宋_GB2312"/>
          <w:color w:val="auto"/>
          <w:sz w:val="32"/>
          <w:szCs w:val="32"/>
          <w:lang w:val="en-US" w:eastAsia="zh-CN"/>
        </w:rPr>
      </w:pPr>
    </w:p>
    <w:sectPr>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Arial Unicode MS"/>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8994"/>
      <w:rPr>
        <w:rFonts w:ascii="Times New Roman" w:hAnsi="Times New Roman" w:eastAsia="Times New Roman" w:cs="Times New Roman"/>
        <w:sz w:val="14"/>
        <w:szCs w:val="14"/>
      </w:rPr>
    </w:pPr>
    <w:r>
      <w:rPr>
        <w:rFonts w:ascii="Times New Roman" w:hAnsi="Times New Roman" w:eastAsia="Times New Roman" w:cs="Times New Roman"/>
        <w:sz w:val="14"/>
        <w:szCs w:val="14"/>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18</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06AEB"/>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1E2108E"/>
    <w:rsid w:val="02056998"/>
    <w:rsid w:val="02CA4E13"/>
    <w:rsid w:val="0320290F"/>
    <w:rsid w:val="03CE5A30"/>
    <w:rsid w:val="0481179B"/>
    <w:rsid w:val="04906571"/>
    <w:rsid w:val="04F46259"/>
    <w:rsid w:val="07006384"/>
    <w:rsid w:val="0748703F"/>
    <w:rsid w:val="077901F2"/>
    <w:rsid w:val="07EC5DAA"/>
    <w:rsid w:val="08373C6E"/>
    <w:rsid w:val="09201287"/>
    <w:rsid w:val="0A85373D"/>
    <w:rsid w:val="0B552D53"/>
    <w:rsid w:val="0C4D613D"/>
    <w:rsid w:val="0E47223D"/>
    <w:rsid w:val="0E734199"/>
    <w:rsid w:val="0E7735D7"/>
    <w:rsid w:val="0EA44169"/>
    <w:rsid w:val="0EE17A18"/>
    <w:rsid w:val="0FC80124"/>
    <w:rsid w:val="102B295D"/>
    <w:rsid w:val="10F149C5"/>
    <w:rsid w:val="11BF5285"/>
    <w:rsid w:val="12296E6F"/>
    <w:rsid w:val="133606D3"/>
    <w:rsid w:val="134817C2"/>
    <w:rsid w:val="135F1805"/>
    <w:rsid w:val="136F98C7"/>
    <w:rsid w:val="13812F37"/>
    <w:rsid w:val="13ED2CBE"/>
    <w:rsid w:val="1498033C"/>
    <w:rsid w:val="14982498"/>
    <w:rsid w:val="157F5E0F"/>
    <w:rsid w:val="15D2354B"/>
    <w:rsid w:val="16093209"/>
    <w:rsid w:val="1682639A"/>
    <w:rsid w:val="169D00A8"/>
    <w:rsid w:val="169D0FE1"/>
    <w:rsid w:val="169F024F"/>
    <w:rsid w:val="173B2289"/>
    <w:rsid w:val="17427E68"/>
    <w:rsid w:val="1755065F"/>
    <w:rsid w:val="179D02AB"/>
    <w:rsid w:val="17BD09D8"/>
    <w:rsid w:val="1800653A"/>
    <w:rsid w:val="18532380"/>
    <w:rsid w:val="18650384"/>
    <w:rsid w:val="18794B28"/>
    <w:rsid w:val="19ED5BFC"/>
    <w:rsid w:val="1A0803E6"/>
    <w:rsid w:val="1A0F267E"/>
    <w:rsid w:val="1AFC29C9"/>
    <w:rsid w:val="1BCC3DF5"/>
    <w:rsid w:val="1C242D51"/>
    <w:rsid w:val="1C76559A"/>
    <w:rsid w:val="1CA52F2E"/>
    <w:rsid w:val="1D6815BF"/>
    <w:rsid w:val="1E086045"/>
    <w:rsid w:val="1E232569"/>
    <w:rsid w:val="1E3630B9"/>
    <w:rsid w:val="1E5552A0"/>
    <w:rsid w:val="1E705794"/>
    <w:rsid w:val="1F7F4739"/>
    <w:rsid w:val="20680669"/>
    <w:rsid w:val="211519AD"/>
    <w:rsid w:val="215D5F65"/>
    <w:rsid w:val="21A53796"/>
    <w:rsid w:val="21B8680E"/>
    <w:rsid w:val="228518FE"/>
    <w:rsid w:val="22985EE3"/>
    <w:rsid w:val="23EF0BE7"/>
    <w:rsid w:val="24702268"/>
    <w:rsid w:val="25751614"/>
    <w:rsid w:val="25DB3F8C"/>
    <w:rsid w:val="263C2E87"/>
    <w:rsid w:val="26EEC2B5"/>
    <w:rsid w:val="27236030"/>
    <w:rsid w:val="29091278"/>
    <w:rsid w:val="2915486D"/>
    <w:rsid w:val="29472309"/>
    <w:rsid w:val="29CB7CA0"/>
    <w:rsid w:val="2AB503E7"/>
    <w:rsid w:val="2AD837D6"/>
    <w:rsid w:val="2AF13003"/>
    <w:rsid w:val="2AF9540F"/>
    <w:rsid w:val="2B406E77"/>
    <w:rsid w:val="2C2A0C43"/>
    <w:rsid w:val="2D1E73A5"/>
    <w:rsid w:val="2E5339A7"/>
    <w:rsid w:val="2E813651"/>
    <w:rsid w:val="2EC948EE"/>
    <w:rsid w:val="30374F3C"/>
    <w:rsid w:val="304275FB"/>
    <w:rsid w:val="31087D5F"/>
    <w:rsid w:val="313D7782"/>
    <w:rsid w:val="32173333"/>
    <w:rsid w:val="32717154"/>
    <w:rsid w:val="32724D3F"/>
    <w:rsid w:val="3325107D"/>
    <w:rsid w:val="333C0460"/>
    <w:rsid w:val="33EA013D"/>
    <w:rsid w:val="33F34DAE"/>
    <w:rsid w:val="34500D30"/>
    <w:rsid w:val="34B63260"/>
    <w:rsid w:val="34E10DEA"/>
    <w:rsid w:val="35056E5F"/>
    <w:rsid w:val="355C3448"/>
    <w:rsid w:val="3562177D"/>
    <w:rsid w:val="35DA7D84"/>
    <w:rsid w:val="35DF5886"/>
    <w:rsid w:val="35EC6788"/>
    <w:rsid w:val="3634238D"/>
    <w:rsid w:val="363B1F0D"/>
    <w:rsid w:val="37B12A10"/>
    <w:rsid w:val="37FDA7E2"/>
    <w:rsid w:val="399A3188"/>
    <w:rsid w:val="39DC71E1"/>
    <w:rsid w:val="3A314D88"/>
    <w:rsid w:val="3A746883"/>
    <w:rsid w:val="3BCC1B2A"/>
    <w:rsid w:val="3BD26083"/>
    <w:rsid w:val="3C0B70D3"/>
    <w:rsid w:val="3C2D6C0D"/>
    <w:rsid w:val="3C446C20"/>
    <w:rsid w:val="3C7B5BFF"/>
    <w:rsid w:val="3C924687"/>
    <w:rsid w:val="3CA15DE9"/>
    <w:rsid w:val="3D001A22"/>
    <w:rsid w:val="3E651E9A"/>
    <w:rsid w:val="3F4F339A"/>
    <w:rsid w:val="3FE61EE5"/>
    <w:rsid w:val="401C6757"/>
    <w:rsid w:val="406508EE"/>
    <w:rsid w:val="408D6263"/>
    <w:rsid w:val="41494633"/>
    <w:rsid w:val="41936BC8"/>
    <w:rsid w:val="41B40CEE"/>
    <w:rsid w:val="42253370"/>
    <w:rsid w:val="42B967A1"/>
    <w:rsid w:val="43786768"/>
    <w:rsid w:val="4385713A"/>
    <w:rsid w:val="43A940F2"/>
    <w:rsid w:val="446C2AA5"/>
    <w:rsid w:val="44967BB0"/>
    <w:rsid w:val="45223DDA"/>
    <w:rsid w:val="45D0794A"/>
    <w:rsid w:val="466C62AB"/>
    <w:rsid w:val="46F87A1D"/>
    <w:rsid w:val="470E4A51"/>
    <w:rsid w:val="471C4A13"/>
    <w:rsid w:val="48317291"/>
    <w:rsid w:val="485F7024"/>
    <w:rsid w:val="48E70666"/>
    <w:rsid w:val="49392ACC"/>
    <w:rsid w:val="49D15A0C"/>
    <w:rsid w:val="4A755BA7"/>
    <w:rsid w:val="4ACA6513"/>
    <w:rsid w:val="4AE254E6"/>
    <w:rsid w:val="4B4961F0"/>
    <w:rsid w:val="4B9A45B5"/>
    <w:rsid w:val="4BFB415E"/>
    <w:rsid w:val="4C6877E5"/>
    <w:rsid w:val="4C7B07CD"/>
    <w:rsid w:val="4D6A468D"/>
    <w:rsid w:val="4DA207BD"/>
    <w:rsid w:val="4EA86137"/>
    <w:rsid w:val="50775A97"/>
    <w:rsid w:val="51293CE5"/>
    <w:rsid w:val="51FF174E"/>
    <w:rsid w:val="5260536F"/>
    <w:rsid w:val="52FE0932"/>
    <w:rsid w:val="536923C4"/>
    <w:rsid w:val="554E5595"/>
    <w:rsid w:val="556B4BA3"/>
    <w:rsid w:val="560F28C5"/>
    <w:rsid w:val="56CA7FD0"/>
    <w:rsid w:val="57FA38D1"/>
    <w:rsid w:val="57FF458B"/>
    <w:rsid w:val="5857050E"/>
    <w:rsid w:val="586A31B8"/>
    <w:rsid w:val="594436FD"/>
    <w:rsid w:val="5A8727DD"/>
    <w:rsid w:val="5B14587D"/>
    <w:rsid w:val="5B85774D"/>
    <w:rsid w:val="5C365014"/>
    <w:rsid w:val="5E1754F1"/>
    <w:rsid w:val="5E7944CF"/>
    <w:rsid w:val="5E83008D"/>
    <w:rsid w:val="5F2A3D64"/>
    <w:rsid w:val="5F703476"/>
    <w:rsid w:val="5F7D0358"/>
    <w:rsid w:val="5F7D3333"/>
    <w:rsid w:val="5FBD72B2"/>
    <w:rsid w:val="5FC10F8E"/>
    <w:rsid w:val="605860E0"/>
    <w:rsid w:val="60807CE5"/>
    <w:rsid w:val="60874F6F"/>
    <w:rsid w:val="60A2212F"/>
    <w:rsid w:val="60F479D2"/>
    <w:rsid w:val="611E26D5"/>
    <w:rsid w:val="61385890"/>
    <w:rsid w:val="61A23E4C"/>
    <w:rsid w:val="62A41854"/>
    <w:rsid w:val="62C6423B"/>
    <w:rsid w:val="644E6AE4"/>
    <w:rsid w:val="64817267"/>
    <w:rsid w:val="65300D84"/>
    <w:rsid w:val="65B849A6"/>
    <w:rsid w:val="65BA63E1"/>
    <w:rsid w:val="65BC5F42"/>
    <w:rsid w:val="65EB5E4E"/>
    <w:rsid w:val="65FD176C"/>
    <w:rsid w:val="667E1592"/>
    <w:rsid w:val="671A7D20"/>
    <w:rsid w:val="67BC2FE5"/>
    <w:rsid w:val="68234F1F"/>
    <w:rsid w:val="685F6137"/>
    <w:rsid w:val="68711077"/>
    <w:rsid w:val="687436E1"/>
    <w:rsid w:val="69192315"/>
    <w:rsid w:val="69A50B1E"/>
    <w:rsid w:val="69FA2028"/>
    <w:rsid w:val="6A9E4255"/>
    <w:rsid w:val="6C5428C7"/>
    <w:rsid w:val="6DA45C50"/>
    <w:rsid w:val="6E9A7825"/>
    <w:rsid w:val="6EAD00A9"/>
    <w:rsid w:val="6EB8438E"/>
    <w:rsid w:val="6F670F9B"/>
    <w:rsid w:val="6F6E5FC2"/>
    <w:rsid w:val="70415DF4"/>
    <w:rsid w:val="70A20BB1"/>
    <w:rsid w:val="70D70721"/>
    <w:rsid w:val="712C4032"/>
    <w:rsid w:val="72917FCF"/>
    <w:rsid w:val="733817FF"/>
    <w:rsid w:val="737450E0"/>
    <w:rsid w:val="73785E10"/>
    <w:rsid w:val="73B979D9"/>
    <w:rsid w:val="74054476"/>
    <w:rsid w:val="742F38C4"/>
    <w:rsid w:val="74952A18"/>
    <w:rsid w:val="74AB66DC"/>
    <w:rsid w:val="74C4154C"/>
    <w:rsid w:val="74EC2EBB"/>
    <w:rsid w:val="75956FFF"/>
    <w:rsid w:val="76176A6B"/>
    <w:rsid w:val="77482495"/>
    <w:rsid w:val="77667BB6"/>
    <w:rsid w:val="77AA2D01"/>
    <w:rsid w:val="77DF3262"/>
    <w:rsid w:val="77F35427"/>
    <w:rsid w:val="7825043A"/>
    <w:rsid w:val="782D154D"/>
    <w:rsid w:val="784B4C61"/>
    <w:rsid w:val="79100DED"/>
    <w:rsid w:val="79834CB4"/>
    <w:rsid w:val="799E2020"/>
    <w:rsid w:val="79F36FD1"/>
    <w:rsid w:val="7A4057CC"/>
    <w:rsid w:val="7A9610E9"/>
    <w:rsid w:val="7B243926"/>
    <w:rsid w:val="7B480455"/>
    <w:rsid w:val="7B7B774B"/>
    <w:rsid w:val="7C6925F6"/>
    <w:rsid w:val="7CDE1DBD"/>
    <w:rsid w:val="7D8C3851"/>
    <w:rsid w:val="7D943A85"/>
    <w:rsid w:val="7DB0448C"/>
    <w:rsid w:val="7E143D62"/>
    <w:rsid w:val="7E5F9AA4"/>
    <w:rsid w:val="7F1750DF"/>
    <w:rsid w:val="7FE11E4D"/>
    <w:rsid w:val="7FEA007E"/>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qFormat/>
    <w:uiPriority w:val="0"/>
    <w:pPr>
      <w:ind w:left="420" w:leftChars="200"/>
    </w:p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jc w:val="left"/>
    </w:pPr>
    <w:rPr>
      <w:kern w:val="0"/>
      <w:sz w:val="24"/>
    </w:rPr>
  </w:style>
  <w:style w:type="paragraph" w:styleId="9">
    <w:name w:val="annotation subject"/>
    <w:basedOn w:val="2"/>
    <w:next w:val="2"/>
    <w:link w:val="18"/>
    <w:qFormat/>
    <w:uiPriority w:val="0"/>
    <w:rPr>
      <w:b/>
      <w:bCs/>
    </w:rPr>
  </w:style>
  <w:style w:type="paragraph" w:styleId="10">
    <w:name w:val="Body Text First Indent 2"/>
    <w:basedOn w:val="4"/>
    <w:qFormat/>
    <w:uiPriority w:val="0"/>
    <w:pPr>
      <w:ind w:firstLine="420" w:firstLineChars="200"/>
    </w:pPr>
  </w:style>
  <w:style w:type="character" w:styleId="13">
    <w:name w:val="page number"/>
    <w:qFormat/>
    <w:uiPriority w:val="0"/>
  </w:style>
  <w:style w:type="character" w:styleId="14">
    <w:name w:val="annotation reference"/>
    <w:qFormat/>
    <w:uiPriority w:val="0"/>
    <w:rPr>
      <w:sz w:val="21"/>
      <w:szCs w:val="21"/>
    </w:rPr>
  </w:style>
  <w:style w:type="character" w:customStyle="1" w:styleId="15">
    <w:name w:val="批注文字 Char"/>
    <w:link w:val="2"/>
    <w:qFormat/>
    <w:uiPriority w:val="0"/>
    <w:rPr>
      <w:kern w:val="2"/>
      <w:sz w:val="21"/>
      <w:szCs w:val="24"/>
    </w:rPr>
  </w:style>
  <w:style w:type="character" w:customStyle="1" w:styleId="16">
    <w:name w:val="批注框文本 Char"/>
    <w:link w:val="5"/>
    <w:qFormat/>
    <w:uiPriority w:val="0"/>
    <w:rPr>
      <w:kern w:val="2"/>
      <w:sz w:val="18"/>
      <w:szCs w:val="18"/>
    </w:rPr>
  </w:style>
  <w:style w:type="character" w:customStyle="1" w:styleId="17">
    <w:name w:val="页眉 Char"/>
    <w:link w:val="7"/>
    <w:qFormat/>
    <w:uiPriority w:val="0"/>
    <w:rPr>
      <w:kern w:val="2"/>
      <w:sz w:val="18"/>
      <w:szCs w:val="18"/>
    </w:rPr>
  </w:style>
  <w:style w:type="character" w:customStyle="1" w:styleId="18">
    <w:name w:val="批注主题 Char"/>
    <w:link w:val="9"/>
    <w:qFormat/>
    <w:uiPriority w:val="0"/>
    <w:rPr>
      <w:b/>
      <w:bCs/>
      <w:kern w:val="2"/>
      <w:sz w:val="21"/>
      <w:szCs w:val="24"/>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Chars="200"/>
    </w:pPr>
    <w:rPr>
      <w:rFonts w:ascii="Times New Roman" w:hAnsi="Times New Roman" w:eastAsia="宋体" w:cs="Times New Roman"/>
      <w:lang w:val="en-US" w:eastAsia="zh-CN" w:bidi="ar-SA"/>
    </w:rPr>
  </w:style>
  <w:style w:type="paragraph" w:customStyle="1" w:styleId="21">
    <w:name w:val="正文1 Char Char Char"/>
    <w:basedOn w:val="1"/>
    <w:qFormat/>
    <w:uiPriority w:val="0"/>
    <w:pPr>
      <w:spacing w:line="360" w:lineRule="auto"/>
      <w:ind w:firstLine="200" w:firstLineChars="200"/>
    </w:p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1163</Words>
  <Characters>2480</Characters>
  <Lines>67</Lines>
  <Paragraphs>18</Paragraphs>
  <TotalTime>10</TotalTime>
  <ScaleCrop>false</ScaleCrop>
  <LinksUpToDate>false</LinksUpToDate>
  <CharactersWithSpaces>2528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HUAWEI</cp:lastModifiedBy>
  <cp:lastPrinted>2023-08-03T00:58:00Z</cp:lastPrinted>
  <dcterms:modified xsi:type="dcterms:W3CDTF">2025-09-05T08:49:38Z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03AE7F14E2DC4BACB053764200FF950D_13</vt:lpwstr>
  </property>
  <property fmtid="{D5CDD505-2E9C-101B-9397-08002B2CF9AE}" pid="4" name="KSOTemplateDocerSaveRecord">
    <vt:lpwstr>eyJoZGlkIjoiY2VlZThlZDk5ZTQ4MTFjNGY3MjIxNTdiOWMzZmQwMWMiLCJ1c2VySWQiOiIyMzQ5MTc1OTYifQ==</vt:lpwstr>
  </property>
</Properties>
</file>