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三亚市城郊人民</w:t>
      </w:r>
      <w:bookmarkStart w:id="120" w:name="_GoBack"/>
      <w:r>
        <w:rPr>
          <w:rFonts w:hint="eastAsia" w:asciiTheme="majorEastAsia" w:hAnsiTheme="majorEastAsia" w:eastAsiaTheme="majorEastAsia" w:cstheme="majorEastAsia"/>
          <w:b/>
          <w:bCs/>
          <w:color w:val="auto"/>
          <w:sz w:val="44"/>
          <w:szCs w:val="44"/>
        </w:rPr>
        <w:t>法院</w:t>
      </w:r>
      <w:bookmarkEnd w:id="120"/>
      <w:r>
        <w:rPr>
          <w:rFonts w:hint="eastAsia" w:asciiTheme="majorEastAsia" w:hAnsiTheme="majorEastAsia" w:eastAsiaTheme="majorEastAsia" w:cstheme="majorEastAsia"/>
          <w:b/>
          <w:bCs/>
          <w:color w:val="auto"/>
          <w:sz w:val="44"/>
          <w:szCs w:val="44"/>
          <w:lang w:val="en-US" w:eastAsia="zh-CN"/>
        </w:rPr>
        <w:t>本级</w:t>
      </w:r>
      <w:r>
        <w:rPr>
          <w:rFonts w:hint="eastAsia" w:asciiTheme="majorEastAsia" w:hAnsiTheme="majorEastAsia" w:eastAsiaTheme="majorEastAsia" w:cstheme="majorEastAsia"/>
          <w:b/>
          <w:bCs/>
          <w:color w:val="auto"/>
          <w:sz w:val="44"/>
          <w:szCs w:val="44"/>
        </w:rPr>
        <w:t>2024年度部门</w:t>
      </w:r>
    </w:p>
    <w:p>
      <w:pPr>
        <w:spacing w:line="578" w:lineRule="exact"/>
        <w:jc w:val="cente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决算公开报告</w:t>
      </w:r>
    </w:p>
    <w:p>
      <w:pPr>
        <w:spacing w:line="578" w:lineRule="exact"/>
        <w:jc w:val="center"/>
        <w:rPr>
          <w:rFonts w:hint="eastAsia" w:ascii="黑体" w:hAnsi="ˎ̥" w:eastAsia="黑体"/>
          <w:b/>
          <w:color w:val="auto"/>
          <w:sz w:val="32"/>
          <w:szCs w:val="32"/>
        </w:rPr>
      </w:pPr>
    </w:p>
    <w:p>
      <w:pPr>
        <w:spacing w:line="578" w:lineRule="exact"/>
        <w:jc w:val="center"/>
        <w:rPr>
          <w:rFonts w:hint="eastAsia" w:ascii="黑体" w:hAnsi="黑体" w:eastAsia="黑体" w:cs="黑体"/>
          <w:color w:val="auto"/>
          <w:sz w:val="44"/>
          <w:szCs w:val="44"/>
        </w:rPr>
      </w:pPr>
      <w:bookmarkStart w:id="0" w:name="_Toc11440_WPSOffice_Type2"/>
      <w:r>
        <w:rPr>
          <w:rFonts w:hint="eastAsia" w:ascii="黑体" w:hAnsi="黑体" w:eastAsia="黑体" w:cs="黑体"/>
          <w:color w:val="auto"/>
          <w:sz w:val="44"/>
          <w:szCs w:val="44"/>
        </w:rPr>
        <w:t>目  录</w:t>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78" w:lineRule="exact"/>
        <w:ind w:firstLine="320" w:firstLineChars="100"/>
        <w:textAlignment w:val="auto"/>
        <w:rPr>
          <w:rFonts w:hint="eastAsia"/>
          <w:color w:val="auto"/>
          <w:sz w:val="32"/>
          <w:szCs w:val="32"/>
        </w:rPr>
      </w:pPr>
      <w:r>
        <w:rPr>
          <w:color w:val="auto"/>
          <w:sz w:val="32"/>
          <w:szCs w:val="32"/>
        </w:rPr>
        <w:fldChar w:fldCharType="begin"/>
      </w:r>
      <w:r>
        <w:rPr>
          <w:color w:val="auto"/>
          <w:sz w:val="32"/>
          <w:szCs w:val="32"/>
        </w:rPr>
        <w:instrText xml:space="preserve"> HYPERLINK \l _Toc1704_WPSOffice_Level1 </w:instrText>
      </w:r>
      <w:r>
        <w:rPr>
          <w:color w:val="auto"/>
          <w:sz w:val="32"/>
          <w:szCs w:val="32"/>
        </w:rPr>
        <w:fldChar w:fldCharType="separate"/>
      </w:r>
      <w:r>
        <w:rPr>
          <w:rFonts w:hint="eastAsia" w:ascii="黑体" w:hAnsi="ˎ̥" w:eastAsia="黑体"/>
          <w:color w:val="auto"/>
          <w:sz w:val="32"/>
          <w:szCs w:val="32"/>
        </w:rPr>
        <w:t>第一部分 基本情况</w:t>
      </w:r>
      <w:r>
        <w:rPr>
          <w:color w:val="auto"/>
          <w:sz w:val="32"/>
          <w:szCs w:val="32"/>
        </w:rPr>
        <w:tab/>
      </w:r>
      <w:r>
        <w:rPr>
          <w:color w:val="auto"/>
          <w:sz w:val="32"/>
          <w:szCs w:val="32"/>
        </w:rPr>
        <w:fldChar w:fldCharType="end"/>
      </w:r>
      <w:r>
        <w:rPr>
          <w:rFonts w:hint="eastAsia"/>
          <w:color w:val="auto"/>
          <w:sz w:val="32"/>
          <w:szCs w:val="32"/>
        </w:rPr>
        <w:t>2</w:t>
      </w:r>
    </w:p>
    <w:p>
      <w:pPr>
        <w:pStyle w:val="20"/>
        <w:tabs>
          <w:tab w:val="right" w:leader="dot" w:pos="8306"/>
        </w:tabs>
        <w:spacing w:line="578" w:lineRule="exact"/>
        <w:ind w:leftChars="0" w:firstLine="320" w:firstLineChars="10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_Toc20274_WPSOffice_Level2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一、部门职责</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2</w:t>
      </w:r>
    </w:p>
    <w:p>
      <w:pPr>
        <w:pStyle w:val="20"/>
        <w:tabs>
          <w:tab w:val="right" w:leader="dot" w:pos="8306"/>
        </w:tabs>
        <w:spacing w:line="578" w:lineRule="exact"/>
        <w:ind w:leftChars="0" w:firstLine="320" w:firstLineChars="1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_Toc4833_WPSOffice_Level2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二、机构设置</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lang w:val="en-US" w:eastAsia="zh-CN"/>
        </w:rPr>
        <w:t>3</w:t>
      </w:r>
    </w:p>
    <w:p>
      <w:pPr>
        <w:pStyle w:val="19"/>
        <w:tabs>
          <w:tab w:val="right" w:leader="dot" w:pos="8306"/>
        </w:tabs>
        <w:spacing w:line="578" w:lineRule="exact"/>
        <w:ind w:firstLine="320" w:firstLineChars="100"/>
        <w:rPr>
          <w:rFonts w:hint="eastAsia" w:eastAsia="宋体"/>
          <w:color w:val="auto"/>
          <w:sz w:val="32"/>
          <w:szCs w:val="32"/>
          <w:lang w:eastAsia="zh-CN"/>
        </w:rPr>
      </w:pPr>
      <w:r>
        <w:rPr>
          <w:color w:val="auto"/>
          <w:sz w:val="32"/>
          <w:szCs w:val="32"/>
        </w:rPr>
        <w:fldChar w:fldCharType="begin"/>
      </w:r>
      <w:r>
        <w:rPr>
          <w:color w:val="auto"/>
          <w:sz w:val="32"/>
          <w:szCs w:val="32"/>
        </w:rPr>
        <w:instrText xml:space="preserve"> HYPERLINK \l _Toc28253_WPSOffice_Level1 </w:instrText>
      </w:r>
      <w:r>
        <w:rPr>
          <w:color w:val="auto"/>
          <w:sz w:val="32"/>
          <w:szCs w:val="32"/>
        </w:rPr>
        <w:fldChar w:fldCharType="separate"/>
      </w:r>
      <w:r>
        <w:rPr>
          <w:rFonts w:hint="eastAsia" w:ascii="黑体" w:hAnsi="ˎ̥" w:eastAsia="黑体"/>
          <w:color w:val="auto"/>
          <w:sz w:val="32"/>
          <w:szCs w:val="32"/>
        </w:rPr>
        <w:t xml:space="preserve">第二部分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年度部门决算公开表</w:t>
      </w:r>
      <w:r>
        <w:rPr>
          <w:color w:val="auto"/>
          <w:sz w:val="32"/>
          <w:szCs w:val="32"/>
        </w:rPr>
        <w:tab/>
      </w:r>
      <w:r>
        <w:rPr>
          <w:color w:val="auto"/>
          <w:sz w:val="32"/>
          <w:szCs w:val="32"/>
        </w:rPr>
        <w:fldChar w:fldCharType="end"/>
      </w:r>
      <w:r>
        <w:rPr>
          <w:rFonts w:hint="eastAsia"/>
          <w:color w:val="auto"/>
          <w:sz w:val="32"/>
          <w:szCs w:val="32"/>
          <w:lang w:val="en-US" w:eastAsia="zh-CN"/>
        </w:rPr>
        <w:t>3</w:t>
      </w:r>
    </w:p>
    <w:p>
      <w:pPr>
        <w:pStyle w:val="19"/>
        <w:tabs>
          <w:tab w:val="right" w:leader="dot" w:pos="8306"/>
        </w:tabs>
        <w:spacing w:line="578" w:lineRule="exact"/>
        <w:ind w:firstLine="320" w:firstLineChars="100"/>
        <w:rPr>
          <w:rFonts w:hint="eastAsia" w:eastAsia="宋体"/>
          <w:color w:val="auto"/>
          <w:sz w:val="32"/>
          <w:szCs w:val="32"/>
          <w:lang w:eastAsia="zh-CN"/>
        </w:rPr>
      </w:pPr>
      <w:r>
        <w:rPr>
          <w:color w:val="auto"/>
          <w:sz w:val="32"/>
          <w:szCs w:val="32"/>
        </w:rPr>
        <w:fldChar w:fldCharType="begin"/>
      </w:r>
      <w:r>
        <w:rPr>
          <w:color w:val="auto"/>
          <w:sz w:val="32"/>
          <w:szCs w:val="32"/>
        </w:rPr>
        <w:instrText xml:space="preserve"> HYPERLINK \l _Toc27590_WPSOffice_Level1 </w:instrText>
      </w:r>
      <w:r>
        <w:rPr>
          <w:color w:val="auto"/>
          <w:sz w:val="32"/>
          <w:szCs w:val="32"/>
        </w:rPr>
        <w:fldChar w:fldCharType="separate"/>
      </w:r>
      <w:r>
        <w:rPr>
          <w:rFonts w:hint="eastAsia" w:ascii="黑体" w:hAnsi="黑体" w:eastAsia="黑体" w:cs="黑体"/>
          <w:color w:val="auto"/>
          <w:sz w:val="32"/>
          <w:szCs w:val="32"/>
        </w:rPr>
        <w:t>第三部分</w:t>
      </w:r>
      <w:r>
        <w:rPr>
          <w:rFonts w:hint="eastAsia"/>
          <w:color w:val="auto"/>
          <w:sz w:val="32"/>
          <w:szCs w:val="32"/>
        </w:rPr>
        <w:t xml:space="preserve">  </w:t>
      </w:r>
      <w:r>
        <w:rPr>
          <w:rFonts w:hint="default" w:ascii="黑体" w:hAnsi="ˎ̥" w:eastAsia="黑体"/>
          <w:color w:val="auto"/>
          <w:sz w:val="32"/>
          <w:szCs w:val="32"/>
          <w:lang w:val="en-US"/>
        </w:rPr>
        <w:t>2024</w:t>
      </w:r>
      <w:r>
        <w:rPr>
          <w:rFonts w:hint="eastAsia" w:ascii="黑体" w:hAnsi="ˎ̥" w:eastAsia="黑体"/>
          <w:color w:val="auto"/>
          <w:sz w:val="32"/>
          <w:szCs w:val="32"/>
        </w:rPr>
        <w:t>年度部门决算情况说明</w:t>
      </w:r>
      <w:r>
        <w:rPr>
          <w:color w:val="auto"/>
          <w:sz w:val="32"/>
          <w:szCs w:val="32"/>
        </w:rPr>
        <w:tab/>
      </w:r>
      <w:r>
        <w:rPr>
          <w:color w:val="auto"/>
          <w:sz w:val="32"/>
          <w:szCs w:val="32"/>
        </w:rPr>
        <w:fldChar w:fldCharType="end"/>
      </w:r>
      <w:r>
        <w:rPr>
          <w:rFonts w:hint="eastAsia"/>
          <w:color w:val="auto"/>
          <w:sz w:val="32"/>
          <w:szCs w:val="32"/>
          <w:lang w:val="en-US" w:eastAsia="zh-CN"/>
        </w:rPr>
        <w:t>4</w:t>
      </w:r>
    </w:p>
    <w:p>
      <w:pPr>
        <w:pStyle w:val="20"/>
        <w:tabs>
          <w:tab w:val="right" w:leader="dot" w:pos="8306"/>
        </w:tabs>
        <w:spacing w:line="578" w:lineRule="exact"/>
        <w:ind w:leftChars="0" w:firstLine="320" w:firstLineChars="1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_Toc21737_WPSOffice_Level2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一、收入支出总体情况说明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lang w:val="en-US" w:eastAsia="zh-CN"/>
        </w:rPr>
        <w:t>4</w:t>
      </w:r>
    </w:p>
    <w:p>
      <w:pPr>
        <w:pStyle w:val="20"/>
        <w:tabs>
          <w:tab w:val="right" w:leader="dot" w:pos="8306"/>
        </w:tabs>
        <w:spacing w:line="578" w:lineRule="exact"/>
        <w:ind w:leftChars="0" w:firstLine="320" w:firstLineChars="10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二、收入决算情况说明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pPr>
        <w:pStyle w:val="20"/>
        <w:tabs>
          <w:tab w:val="right" w:leader="dot" w:pos="8306"/>
        </w:tabs>
        <w:spacing w:line="578" w:lineRule="exact"/>
        <w:ind w:leftChars="0" w:firstLine="320" w:firstLineChars="1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三、支出决算情况说明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lang w:val="en-US" w:eastAsia="zh-CN"/>
        </w:rPr>
        <w:t>5</w:t>
      </w:r>
    </w:p>
    <w:p>
      <w:pPr>
        <w:pStyle w:val="20"/>
        <w:tabs>
          <w:tab w:val="right" w:leader="dot" w:pos="8306"/>
        </w:tabs>
        <w:spacing w:line="578" w:lineRule="exact"/>
        <w:ind w:leftChars="0" w:firstLine="320" w:firstLineChars="1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四、财政拨款收入支出决算</w:t>
      </w:r>
      <w:r>
        <w:rPr>
          <w:rFonts w:hint="eastAsia" w:ascii="仿宋" w:hAnsi="仿宋" w:eastAsia="仿宋" w:cs="仿宋"/>
          <w:bCs/>
          <w:color w:val="auto"/>
          <w:sz w:val="32"/>
          <w:szCs w:val="32"/>
          <w:lang w:val="en-US" w:eastAsia="zh-CN"/>
        </w:rPr>
        <w:t>总体</w:t>
      </w:r>
      <w:r>
        <w:rPr>
          <w:rFonts w:hint="eastAsia" w:ascii="仿宋" w:hAnsi="仿宋" w:eastAsia="仿宋" w:cs="仿宋"/>
          <w:bCs/>
          <w:color w:val="auto"/>
          <w:sz w:val="32"/>
          <w:szCs w:val="32"/>
        </w:rPr>
        <w:t>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lang w:val="en-US" w:eastAsia="zh-CN"/>
        </w:rPr>
        <w:t>5</w:t>
      </w:r>
    </w:p>
    <w:p>
      <w:pPr>
        <w:pStyle w:val="20"/>
        <w:tabs>
          <w:tab w:val="right" w:leader="dot" w:pos="8306"/>
        </w:tabs>
        <w:spacing w:line="578" w:lineRule="exact"/>
        <w:ind w:leftChars="0" w:firstLine="320" w:firstLineChars="10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五、一般公共预算财政拨款支出决算情况说明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5</w:t>
      </w:r>
    </w:p>
    <w:p>
      <w:pPr>
        <w:pStyle w:val="20"/>
        <w:tabs>
          <w:tab w:val="right" w:leader="dot" w:pos="8306"/>
        </w:tabs>
        <w:spacing w:line="578" w:lineRule="exact"/>
        <w:ind w:leftChars="0" w:firstLine="320" w:firstLineChars="1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六、一般公共预算财政拨款基本支出决算情况说明</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ab/>
      </w:r>
      <w:r>
        <w:rPr>
          <w:rFonts w:hint="eastAsia" w:ascii="仿宋" w:hAnsi="仿宋" w:eastAsia="仿宋" w:cs="仿宋"/>
          <w:color w:val="auto"/>
          <w:sz w:val="32"/>
          <w:szCs w:val="32"/>
          <w:lang w:val="en-US" w:eastAsia="zh-CN"/>
        </w:rPr>
        <w:t>7</w:t>
      </w:r>
    </w:p>
    <w:p>
      <w:pPr>
        <w:pStyle w:val="20"/>
        <w:numPr>
          <w:ilvl w:val="0"/>
          <w:numId w:val="0"/>
        </w:numPr>
        <w:tabs>
          <w:tab w:val="right" w:leader="dot" w:pos="8306"/>
        </w:tabs>
        <w:spacing w:line="578" w:lineRule="exact"/>
        <w:ind w:firstLine="320" w:firstLineChars="100"/>
        <w:rPr>
          <w:rFonts w:hint="eastAsia" w:ascii="仿宋" w:hAnsi="仿宋" w:eastAsia="仿宋" w:cs="仿宋"/>
          <w:color w:val="auto"/>
          <w:sz w:val="32"/>
          <w:szCs w:val="32"/>
        </w:rPr>
      </w:pP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rPr>
        <w:t>政府性基金预算财政拨款支出决算情况说明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lang w:val="en-US" w:eastAsia="zh-CN"/>
        </w:rPr>
        <w:t>8</w:t>
      </w:r>
    </w:p>
    <w:p>
      <w:pPr>
        <w:pStyle w:val="20"/>
        <w:numPr>
          <w:ilvl w:val="0"/>
          <w:numId w:val="0"/>
        </w:numPr>
        <w:tabs>
          <w:tab w:val="right" w:leader="dot" w:pos="8306"/>
        </w:tabs>
        <w:spacing w:line="578" w:lineRule="exact"/>
        <w:ind w:firstLine="320" w:firstLineChars="100"/>
        <w:rPr>
          <w:rFonts w:hint="eastAsia" w:ascii="仿宋" w:hAnsi="仿宋" w:eastAsia="仿宋" w:cs="仿宋"/>
          <w:color w:val="auto"/>
          <w:sz w:val="32"/>
          <w:szCs w:val="32"/>
        </w:rPr>
      </w:pP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rPr>
        <w:t>国有资本经营预算财政拨款支出决算情况说明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lang w:val="en-US" w:eastAsia="zh-CN"/>
        </w:rPr>
        <w:t>8</w:t>
      </w:r>
    </w:p>
    <w:p>
      <w:pPr>
        <w:pStyle w:val="20"/>
        <w:tabs>
          <w:tab w:val="right" w:leader="dot" w:pos="8306"/>
        </w:tabs>
        <w:spacing w:line="578" w:lineRule="exact"/>
        <w:ind w:leftChars="0" w:firstLine="320" w:firstLineChars="10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九、财政拨款“三公”经费支出决算情况说明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9</w:t>
      </w:r>
    </w:p>
    <w:p>
      <w:pPr>
        <w:pStyle w:val="20"/>
        <w:tabs>
          <w:tab w:val="right" w:leader="dot" w:pos="8306"/>
        </w:tabs>
        <w:spacing w:line="578" w:lineRule="exact"/>
        <w:ind w:leftChars="0" w:firstLine="320" w:firstLineChars="1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十、预算绩效情况说明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0</w:t>
      </w:r>
    </w:p>
    <w:p>
      <w:pPr>
        <w:pStyle w:val="20"/>
        <w:tabs>
          <w:tab w:val="right" w:leader="dot" w:pos="8306"/>
        </w:tabs>
        <w:spacing w:line="578" w:lineRule="exact"/>
        <w:ind w:leftChars="0" w:firstLine="320" w:firstLineChars="100"/>
        <w:rPr>
          <w:rFonts w:hint="eastAsia" w:ascii="仿宋" w:hAnsi="仿宋" w:eastAsia="仿宋" w:cs="仿宋"/>
          <w:color w:val="auto"/>
          <w:sz w:val="32"/>
          <w:szCs w:val="32"/>
          <w:lang w:eastAsia="zh-CN"/>
        </w:rPr>
      </w:pPr>
      <w:r>
        <w:rPr>
          <w:rFonts w:hint="eastAsia" w:ascii="仿宋" w:hAnsi="仿宋" w:eastAsia="仿宋" w:cs="仿宋"/>
          <w:bCs/>
          <w:color w:val="auto"/>
          <w:sz w:val="32"/>
          <w:szCs w:val="32"/>
        </w:rPr>
        <w:t>十一、其他重要事项情况说明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5</w:t>
      </w:r>
    </w:p>
    <w:p>
      <w:pPr>
        <w:pStyle w:val="19"/>
        <w:tabs>
          <w:tab w:val="right" w:leader="dot" w:pos="8306"/>
        </w:tabs>
        <w:spacing w:line="578" w:lineRule="exact"/>
        <w:ind w:firstLine="320" w:firstLineChars="100"/>
        <w:rPr>
          <w:rFonts w:hint="eastAsia" w:ascii="黑体" w:hAnsi="ˎ̥"/>
          <w:b/>
          <w:color w:val="auto"/>
          <w:sz w:val="32"/>
          <w:szCs w:val="32"/>
        </w:rPr>
      </w:pPr>
      <w:r>
        <w:rPr>
          <w:color w:val="auto"/>
          <w:sz w:val="32"/>
          <w:szCs w:val="32"/>
        </w:rPr>
        <w:fldChar w:fldCharType="begin"/>
      </w:r>
      <w:r>
        <w:rPr>
          <w:color w:val="auto"/>
          <w:sz w:val="32"/>
          <w:szCs w:val="32"/>
        </w:rPr>
        <w:instrText xml:space="preserve"> HYPERLINK \l _Toc15425_WPSOffice_Level1 </w:instrText>
      </w:r>
      <w:r>
        <w:rPr>
          <w:color w:val="auto"/>
          <w:sz w:val="32"/>
          <w:szCs w:val="32"/>
        </w:rPr>
        <w:fldChar w:fldCharType="separate"/>
      </w:r>
      <w:r>
        <w:rPr>
          <w:rFonts w:hint="eastAsia" w:ascii="黑体" w:hAnsi="ˎ̥" w:eastAsia="黑体"/>
          <w:color w:val="auto"/>
          <w:sz w:val="32"/>
          <w:szCs w:val="32"/>
        </w:rPr>
        <w:t>第四部分  名词解释</w:t>
      </w:r>
      <w:r>
        <w:rPr>
          <w:color w:val="auto"/>
          <w:sz w:val="32"/>
          <w:szCs w:val="32"/>
        </w:rPr>
        <w:tab/>
      </w:r>
      <w:bookmarkStart w:id="1" w:name="_Toc15425_WPSOffice_Level1Page"/>
      <w:r>
        <w:rPr>
          <w:color w:val="auto"/>
          <w:sz w:val="32"/>
          <w:szCs w:val="32"/>
        </w:rPr>
        <w:t>1</w:t>
      </w:r>
      <w:bookmarkEnd w:id="1"/>
      <w:r>
        <w:rPr>
          <w:color w:val="auto"/>
          <w:sz w:val="32"/>
          <w:szCs w:val="32"/>
        </w:rPr>
        <w:fldChar w:fldCharType="end"/>
      </w:r>
      <w:bookmarkEnd w:id="0"/>
      <w:r>
        <w:rPr>
          <w:rFonts w:hint="eastAsia"/>
          <w:color w:val="auto"/>
          <w:sz w:val="32"/>
          <w:szCs w:val="32"/>
        </w:rPr>
        <w:t>5</w:t>
      </w:r>
    </w:p>
    <w:p>
      <w:pPr>
        <w:spacing w:line="578" w:lineRule="exact"/>
        <w:jc w:val="both"/>
        <w:rPr>
          <w:rFonts w:hint="eastAsia" w:ascii="黑体" w:hAnsi="ˎ̥" w:eastAsia="黑体"/>
          <w:color w:val="auto"/>
          <w:sz w:val="32"/>
          <w:szCs w:val="32"/>
        </w:rPr>
      </w:pPr>
      <w:bookmarkStart w:id="2" w:name="_Toc32433_WPSOffice_Level1"/>
      <w:bookmarkStart w:id="3" w:name="_Toc1704_WPSOffice_Level1"/>
      <w:bookmarkStart w:id="4" w:name="_Toc22941_WPSOffice_Level1"/>
      <w:bookmarkStart w:id="5" w:name="_Toc23465_WPSOffice_Level1"/>
      <w:bookmarkStart w:id="6" w:name="_Toc10049_WPSOffice_Level1"/>
      <w:bookmarkStart w:id="7" w:name="_Toc10720_WPSOffice_Level1"/>
      <w:bookmarkStart w:id="8" w:name="_Toc24238_WPSOffice_Level2"/>
      <w:bookmarkStart w:id="9" w:name="_Toc20274_WPSOffice_Level2"/>
      <w:bookmarkStart w:id="10" w:name="_Toc14159_WPSOffice_Level2"/>
      <w:bookmarkStart w:id="11" w:name="_Toc32622_WPSOffice_Level2"/>
      <w:bookmarkStart w:id="12" w:name="_Toc26580_WPSOffice_Level2"/>
      <w:bookmarkStart w:id="13" w:name="_Toc20205_WPSOffice_Level2"/>
    </w:p>
    <w:p>
      <w:pPr>
        <w:spacing w:line="578" w:lineRule="exact"/>
        <w:jc w:val="both"/>
        <w:rPr>
          <w:rFonts w:hint="eastAsia" w:ascii="黑体" w:hAnsi="ˎ̥" w:eastAsia="黑体"/>
          <w:color w:val="auto"/>
          <w:sz w:val="32"/>
          <w:szCs w:val="32"/>
        </w:rPr>
      </w:pPr>
    </w:p>
    <w:p>
      <w:pPr>
        <w:spacing w:line="578" w:lineRule="exact"/>
        <w:jc w:val="both"/>
        <w:rPr>
          <w:rFonts w:hint="eastAsia" w:ascii="黑体" w:hAnsi="ˎ̥" w:eastAsia="黑体"/>
          <w:color w:val="auto"/>
          <w:sz w:val="32"/>
          <w:szCs w:val="32"/>
        </w:rPr>
      </w:pPr>
    </w:p>
    <w:p>
      <w:pPr>
        <w:spacing w:line="578" w:lineRule="exact"/>
        <w:jc w:val="both"/>
        <w:rPr>
          <w:rFonts w:hint="eastAsia" w:ascii="黑体" w:hAnsi="ˎ̥" w:eastAsia="黑体"/>
          <w:color w:val="auto"/>
          <w:sz w:val="32"/>
          <w:szCs w:val="32"/>
        </w:rPr>
      </w:pPr>
    </w:p>
    <w:p>
      <w:pPr>
        <w:spacing w:line="578" w:lineRule="exact"/>
        <w:jc w:val="center"/>
        <w:rPr>
          <w:rFonts w:hint="eastAsia" w:ascii="黑体" w:hAnsi="ˎ̥" w:eastAsia="黑体"/>
          <w:color w:val="auto"/>
          <w:sz w:val="32"/>
          <w:szCs w:val="32"/>
        </w:rPr>
      </w:pPr>
      <w:r>
        <w:rPr>
          <w:rFonts w:hint="eastAsia" w:ascii="黑体" w:hAnsi="ˎ̥" w:eastAsia="黑体"/>
          <w:color w:val="auto"/>
          <w:sz w:val="32"/>
          <w:szCs w:val="32"/>
        </w:rPr>
        <w:t xml:space="preserve">第一部分  </w:t>
      </w:r>
      <w:bookmarkEnd w:id="2"/>
      <w:bookmarkEnd w:id="3"/>
      <w:bookmarkEnd w:id="4"/>
      <w:bookmarkEnd w:id="5"/>
      <w:bookmarkEnd w:id="6"/>
      <w:bookmarkEnd w:id="7"/>
      <w:r>
        <w:rPr>
          <w:rFonts w:hint="eastAsia" w:ascii="黑体" w:hAnsi="ˎ̥" w:eastAsia="黑体"/>
          <w:color w:val="auto"/>
          <w:sz w:val="32"/>
          <w:szCs w:val="32"/>
        </w:rPr>
        <w:t>基本情况</w:t>
      </w:r>
    </w:p>
    <w:p>
      <w:pPr>
        <w:spacing w:line="578" w:lineRule="exact"/>
        <w:ind w:firstLine="640" w:firstLineChars="200"/>
        <w:rPr>
          <w:rFonts w:hint="eastAsia" w:ascii="楷体" w:hAnsi="楷体" w:eastAsia="楷体" w:cs="楷体"/>
          <w:color w:val="auto"/>
          <w:sz w:val="32"/>
          <w:szCs w:val="32"/>
        </w:rPr>
      </w:pPr>
    </w:p>
    <w:p>
      <w:pPr>
        <w:numPr>
          <w:ilvl w:val="0"/>
          <w:numId w:val="1"/>
        </w:numPr>
        <w:spacing w:line="578"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部门</w:t>
      </w:r>
      <w:bookmarkEnd w:id="8"/>
      <w:r>
        <w:rPr>
          <w:rFonts w:hint="eastAsia" w:ascii="黑体" w:hAnsi="黑体" w:eastAsia="黑体" w:cs="黑体"/>
          <w:color w:val="auto"/>
          <w:sz w:val="32"/>
          <w:szCs w:val="32"/>
        </w:rPr>
        <w:t>职责</w:t>
      </w:r>
      <w:bookmarkEnd w:id="9"/>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lang w:val="en-US" w:eastAsia="zh-CN"/>
        </w:rPr>
        <w:t>（1）深入贯彻习近平新时代中国特色社会主义思想，深入贯彻党的路线方针政策和决策部署，统一本院干警思想和行动，坚持党对法院工作的绝对领导，坚决维护习近平总书记的核心地位，坚决维护党中央权威和集中统一领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lang w:val="en-US" w:eastAsia="zh-CN"/>
        </w:rPr>
        <w:t>（2）依法审判法律规定由基层人民法院管辖的第一审刑事、民事、行政等第一审案件。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lang w:val="en-US" w:eastAsia="zh-CN"/>
        </w:rPr>
        <w:t>（3）受理不服本院生效裁判的各类申诉和再审申请，对其中确有错误的，提起再审。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lang w:val="en-US" w:eastAsia="zh-CN"/>
        </w:rPr>
        <w:t>（4）依法审判由上级法院指定管辖和交办的刑事、民事、行政等案件。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lang w:val="en-US" w:eastAsia="zh-CN"/>
        </w:rPr>
        <w:t>（5）执行本院已经发生法律效力的第一审判决、裁定以及法律规定应由本院执行的其他生效法律文书和外省市（县）法院委托执行的案件。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lang w:val="en-US" w:eastAsia="zh-CN"/>
        </w:rPr>
        <w:t>（6）组织开展调研，对法律、法规、规章等草案提出意见；针对案件中发现的问题提出司法建议。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lang w:val="en-US" w:eastAsia="zh-CN"/>
        </w:rPr>
        <w:t>（7）加强普法宣传，会同有关部门和社会团体做好未成年人犯罪的预防、审判、教育、感化和挽救工作。教育、引导公民自觉遵守宪法、法律。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lang w:val="en-US" w:eastAsia="zh-CN"/>
        </w:rPr>
        <w:t>（8）负责本院的思想政治、教育培训、督察工作;按权限管理法官、法官助理、书记员、司法警察及司法行政人员。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lang w:val="en-US" w:eastAsia="zh-CN"/>
        </w:rPr>
        <w:t>（9）依照规定协同上级职能部门做好机构编制管理，以及干部考核、培养和选拔任用工作。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lang w:val="en-US" w:eastAsia="zh-CN"/>
        </w:rPr>
        <w:t>（10）负责本院的司法行政工作，管理本院的国有资产、经费财产、物资装备和基本建设。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color w:val="auto"/>
          <w:sz w:val="32"/>
          <w:szCs w:val="32"/>
          <w:lang w:val="en-US" w:eastAsia="zh-CN"/>
        </w:rPr>
      </w:pPr>
      <w:r>
        <w:rPr>
          <w:rFonts w:hint="eastAsia" w:ascii="仿宋_GB2312" w:hAnsi="ˎ̥" w:eastAsia="仿宋_GB2312"/>
          <w:color w:val="auto"/>
          <w:sz w:val="32"/>
          <w:szCs w:val="32"/>
          <w:lang w:val="en-US" w:eastAsia="zh-CN"/>
        </w:rPr>
        <w:t>（11）完成市委、市人大和上级人民法院交办的其他工作。</w:t>
      </w:r>
    </w:p>
    <w:p>
      <w:pPr>
        <w:spacing w:line="578" w:lineRule="exact"/>
        <w:ind w:firstLine="640" w:firstLineChars="200"/>
        <w:rPr>
          <w:rFonts w:hint="eastAsia" w:ascii="黑体" w:hAnsi="黑体" w:eastAsia="黑体" w:cs="黑体"/>
          <w:color w:val="auto"/>
          <w:sz w:val="32"/>
          <w:szCs w:val="32"/>
        </w:rPr>
      </w:pPr>
      <w:bookmarkStart w:id="14" w:name="_Toc17796_WPSOffice_Level2"/>
      <w:bookmarkStart w:id="15" w:name="_Toc6572_WPSOffice_Level2"/>
      <w:bookmarkStart w:id="16" w:name="_Toc4833_WPSOffice_Level2"/>
      <w:bookmarkStart w:id="17" w:name="_Toc24059_WPSOffice_Level2"/>
      <w:bookmarkStart w:id="18" w:name="_Toc24474_WPSOffice_Level2"/>
      <w:r>
        <w:rPr>
          <w:rFonts w:hint="eastAsia" w:ascii="黑体" w:hAnsi="黑体" w:eastAsia="黑体" w:cs="黑体"/>
          <w:color w:val="auto"/>
          <w:sz w:val="32"/>
          <w:szCs w:val="32"/>
        </w:rPr>
        <w:t>二、机构设置</w:t>
      </w:r>
      <w:bookmarkEnd w:id="14"/>
      <w:bookmarkEnd w:id="15"/>
      <w:bookmarkEnd w:id="16"/>
      <w:bookmarkEnd w:id="17"/>
      <w:bookmarkEnd w:id="18"/>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纳入</w:t>
      </w:r>
      <w:r>
        <w:rPr>
          <w:rFonts w:hint="eastAsia" w:ascii="仿宋_GB2312" w:hAnsi="ˎ̥" w:eastAsia="仿宋_GB2312"/>
          <w:color w:val="auto"/>
          <w:sz w:val="32"/>
          <w:szCs w:val="32"/>
          <w:lang w:val="en-US" w:eastAsia="zh-CN"/>
        </w:rPr>
        <w:t>三亚市城郊人民法院本级</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年度部门决算编制范围的单位共</w:t>
      </w:r>
      <w:r>
        <w:rPr>
          <w:rFonts w:hint="eastAsia" w:ascii="仿宋_GB2312" w:hAnsi="ˎ̥" w:eastAsia="仿宋_GB2312"/>
          <w:color w:val="auto"/>
          <w:sz w:val="32"/>
          <w:szCs w:val="32"/>
          <w:lang w:val="en-US" w:eastAsia="zh-CN"/>
        </w:rPr>
        <w:t>1</w:t>
      </w:r>
      <w:r>
        <w:rPr>
          <w:rFonts w:hint="eastAsia" w:ascii="仿宋_GB2312" w:hAnsi="ˎ̥" w:eastAsia="仿宋_GB2312"/>
          <w:color w:val="auto"/>
          <w:sz w:val="32"/>
          <w:szCs w:val="32"/>
        </w:rPr>
        <w:t>个，</w:t>
      </w:r>
      <w:r>
        <w:rPr>
          <w:rFonts w:hint="eastAsia" w:ascii="仿宋_GB2312" w:hAnsi="ˎ̥" w:eastAsia="仿宋_GB2312"/>
          <w:color w:val="auto"/>
          <w:sz w:val="32"/>
          <w:szCs w:val="32"/>
          <w:lang w:val="en-US" w:eastAsia="zh-CN"/>
        </w:rPr>
        <w:t>即三亚市城郊人民法院部门本级，其内设机构共14个</w:t>
      </w:r>
      <w:r>
        <w:rPr>
          <w:rFonts w:hint="eastAsia" w:ascii="仿宋_GB2312" w:hAnsi="ˎ̥" w:eastAsia="仿宋_GB2312"/>
          <w:color w:val="auto"/>
          <w:sz w:val="32"/>
          <w:szCs w:val="32"/>
        </w:rPr>
        <w:t>：包括办公室、政治部、立案庭、刑事审判庭、民事审判庭、行政审判庭、执行局、旅游审判庭、审判管理办公室、司法警察大队、海棠湾人民法庭、吉阳人民法庭、天涯人民法庭、崖城人民法庭。</w:t>
      </w:r>
    </w:p>
    <w:p>
      <w:pPr>
        <w:spacing w:line="578" w:lineRule="exact"/>
        <w:jc w:val="center"/>
        <w:rPr>
          <w:rFonts w:hint="eastAsia" w:ascii="黑体" w:hAnsi="ˎ̥" w:eastAsia="黑体"/>
          <w:color w:val="auto"/>
          <w:sz w:val="32"/>
          <w:szCs w:val="32"/>
        </w:rPr>
      </w:pPr>
      <w:bookmarkStart w:id="19" w:name="_Toc15521_WPSOffice_Level1"/>
      <w:bookmarkStart w:id="20" w:name="_Toc30451_WPSOffice_Level1"/>
      <w:bookmarkStart w:id="21" w:name="_Toc8164_WPSOffice_Level1"/>
      <w:bookmarkStart w:id="22" w:name="_Toc6234_WPSOffice_Level1"/>
      <w:bookmarkStart w:id="23" w:name="_Toc28253_WPSOffice_Level1"/>
      <w:bookmarkStart w:id="24" w:name="_Toc30690_WPSOffice_Level1"/>
      <w:bookmarkStart w:id="25" w:name="_Toc32695_WPSOffice_Level2"/>
      <w:bookmarkStart w:id="26" w:name="_Toc4029_WPSOffice_Level2"/>
      <w:bookmarkStart w:id="27" w:name="_Toc8867_WPSOffice_Level2"/>
      <w:bookmarkStart w:id="28" w:name="_Toc6211_WPSOffice_Level2"/>
      <w:bookmarkStart w:id="29" w:name="_Toc11518_WPSOffice_Level2"/>
      <w:bookmarkStart w:id="30" w:name="_Toc32472_WPSOffice_Level2"/>
    </w:p>
    <w:p>
      <w:pPr>
        <w:spacing w:line="578" w:lineRule="exact"/>
        <w:jc w:val="center"/>
        <w:rPr>
          <w:rFonts w:hint="eastAsia" w:ascii="黑体" w:hAnsi="ˎ̥" w:eastAsia="黑体"/>
          <w:color w:val="auto"/>
          <w:sz w:val="32"/>
          <w:szCs w:val="32"/>
        </w:rPr>
      </w:pPr>
      <w:r>
        <w:rPr>
          <w:rFonts w:hint="eastAsia" w:ascii="黑体" w:hAnsi="ˎ̥" w:eastAsia="黑体"/>
          <w:color w:val="auto"/>
          <w:sz w:val="32"/>
          <w:szCs w:val="32"/>
        </w:rPr>
        <w:t xml:space="preserve">第二部分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年度部门决算公开报表</w:t>
      </w:r>
      <w:bookmarkEnd w:id="19"/>
      <w:bookmarkEnd w:id="20"/>
      <w:bookmarkEnd w:id="21"/>
      <w:bookmarkEnd w:id="22"/>
      <w:bookmarkEnd w:id="23"/>
      <w:bookmarkEnd w:id="24"/>
    </w:p>
    <w:p>
      <w:pPr>
        <w:spacing w:line="578" w:lineRule="exact"/>
        <w:ind w:firstLine="645"/>
        <w:rPr>
          <w:rFonts w:hint="eastAsia" w:ascii="黑体" w:hAnsi="黑体" w:eastAsia="黑体" w:cs="黑体"/>
          <w:color w:val="auto"/>
          <w:sz w:val="32"/>
          <w:szCs w:val="32"/>
        </w:rPr>
      </w:pPr>
    </w:p>
    <w:p>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一、收入支出决算公开表</w:t>
      </w:r>
      <w:bookmarkEnd w:id="25"/>
      <w:bookmarkEnd w:id="26"/>
      <w:bookmarkEnd w:id="27"/>
      <w:bookmarkEnd w:id="28"/>
      <w:bookmarkEnd w:id="29"/>
      <w:bookmarkEnd w:id="30"/>
    </w:p>
    <w:p>
      <w:pPr>
        <w:spacing w:line="578" w:lineRule="exact"/>
        <w:ind w:firstLine="645"/>
        <w:rPr>
          <w:rFonts w:hint="eastAsia" w:ascii="黑体" w:hAnsi="黑体" w:eastAsia="黑体" w:cs="黑体"/>
          <w:color w:val="auto"/>
          <w:sz w:val="32"/>
          <w:szCs w:val="32"/>
        </w:rPr>
      </w:pPr>
      <w:bookmarkStart w:id="31" w:name="_Toc14349_WPSOffice_Level2"/>
      <w:bookmarkStart w:id="32" w:name="_Toc28622_WPSOffice_Level2"/>
      <w:bookmarkStart w:id="33" w:name="_Toc25608_WPSOffice_Level2"/>
      <w:bookmarkStart w:id="34" w:name="_Toc26621_WPSOffice_Level2"/>
      <w:bookmarkStart w:id="35" w:name="_Toc23139_WPSOffice_Level2"/>
      <w:bookmarkStart w:id="36" w:name="_Toc30334_WPSOffice_Level2"/>
      <w:r>
        <w:rPr>
          <w:rFonts w:hint="eastAsia" w:ascii="黑体" w:hAnsi="黑体" w:eastAsia="黑体" w:cs="黑体"/>
          <w:color w:val="auto"/>
          <w:sz w:val="32"/>
          <w:szCs w:val="32"/>
        </w:rPr>
        <w:t>二、收入决算公开表</w:t>
      </w:r>
      <w:bookmarkEnd w:id="31"/>
      <w:bookmarkEnd w:id="32"/>
      <w:bookmarkEnd w:id="33"/>
      <w:bookmarkEnd w:id="34"/>
      <w:bookmarkEnd w:id="35"/>
      <w:bookmarkEnd w:id="36"/>
      <w:bookmarkStart w:id="37" w:name="_Toc14658_WPSOffice_Level2"/>
      <w:bookmarkStart w:id="38" w:name="_Toc13854_WPSOffice_Level2"/>
      <w:bookmarkStart w:id="39" w:name="_Toc17626_WPSOffice_Level2"/>
      <w:bookmarkStart w:id="40" w:name="_Toc3262_WPSOffice_Level2"/>
      <w:bookmarkStart w:id="41" w:name="_Toc17858_WPSOffice_Level2"/>
      <w:bookmarkStart w:id="42" w:name="_Toc5489_WPSOffice_Level2"/>
    </w:p>
    <w:p>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三、支出决算公开表</w:t>
      </w:r>
      <w:bookmarkEnd w:id="37"/>
      <w:bookmarkEnd w:id="38"/>
      <w:bookmarkEnd w:id="39"/>
      <w:bookmarkEnd w:id="40"/>
      <w:bookmarkEnd w:id="41"/>
      <w:bookmarkEnd w:id="42"/>
      <w:bookmarkStart w:id="43" w:name="_Toc13701_WPSOffice_Level2"/>
      <w:bookmarkStart w:id="44" w:name="_Toc23493_WPSOffice_Level2"/>
      <w:bookmarkStart w:id="45" w:name="_Toc7988_WPSOffice_Level2"/>
      <w:bookmarkStart w:id="46" w:name="_Toc4265_WPSOffice_Level2"/>
      <w:bookmarkStart w:id="47" w:name="_Toc23591_WPSOffice_Level2"/>
      <w:bookmarkStart w:id="48" w:name="_Toc21415_WPSOffice_Level2"/>
    </w:p>
    <w:p>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四、财政拨款收入支出决算公开表</w:t>
      </w:r>
      <w:bookmarkEnd w:id="43"/>
      <w:bookmarkEnd w:id="44"/>
      <w:bookmarkEnd w:id="45"/>
      <w:bookmarkEnd w:id="46"/>
      <w:bookmarkEnd w:id="47"/>
      <w:bookmarkEnd w:id="48"/>
    </w:p>
    <w:p>
      <w:pPr>
        <w:spacing w:line="578" w:lineRule="exact"/>
        <w:ind w:firstLine="645"/>
        <w:rPr>
          <w:rFonts w:hint="eastAsia" w:ascii="黑体" w:hAnsi="黑体" w:eastAsia="黑体" w:cs="黑体"/>
          <w:color w:val="auto"/>
          <w:sz w:val="32"/>
          <w:szCs w:val="32"/>
        </w:rPr>
      </w:pPr>
      <w:bookmarkStart w:id="49" w:name="_Toc22783_WPSOffice_Level2"/>
      <w:bookmarkStart w:id="50" w:name="_Toc23829_WPSOffice_Level2"/>
      <w:bookmarkStart w:id="51" w:name="_Toc7879_WPSOffice_Level2"/>
      <w:bookmarkStart w:id="52" w:name="_Toc25166_WPSOffice_Level2"/>
      <w:bookmarkStart w:id="53" w:name="_Toc2158_WPSOffice_Level2"/>
      <w:bookmarkStart w:id="54" w:name="_Toc13516_WPSOffice_Level2"/>
      <w:r>
        <w:rPr>
          <w:rFonts w:hint="eastAsia" w:ascii="黑体" w:hAnsi="黑体" w:eastAsia="黑体" w:cs="黑体"/>
          <w:color w:val="auto"/>
          <w:sz w:val="32"/>
          <w:szCs w:val="32"/>
        </w:rPr>
        <w:t>五、一般公共预算财政拨款收入支出决算</w:t>
      </w:r>
      <w:bookmarkEnd w:id="49"/>
      <w:bookmarkEnd w:id="50"/>
      <w:bookmarkEnd w:id="51"/>
      <w:bookmarkEnd w:id="52"/>
      <w:r>
        <w:rPr>
          <w:rFonts w:hint="eastAsia" w:ascii="黑体" w:hAnsi="黑体" w:eastAsia="黑体" w:cs="黑体"/>
          <w:color w:val="auto"/>
          <w:sz w:val="32"/>
          <w:szCs w:val="32"/>
        </w:rPr>
        <w:t>公开表</w:t>
      </w:r>
      <w:bookmarkEnd w:id="53"/>
      <w:bookmarkEnd w:id="54"/>
      <w:bookmarkStart w:id="55" w:name="_Toc5343_WPSOffice_Level2"/>
      <w:bookmarkStart w:id="56" w:name="_Toc25362_WPSOffice_Level2"/>
      <w:bookmarkStart w:id="57" w:name="_Toc8373_WPSOffice_Level2"/>
      <w:bookmarkStart w:id="58" w:name="_Toc17833_WPSOffice_Level2"/>
      <w:bookmarkStart w:id="59" w:name="_Toc17283_WPSOffice_Level2"/>
      <w:bookmarkStart w:id="60" w:name="_Toc2632_WPSOffice_Level2"/>
    </w:p>
    <w:p>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六、一般公共预算财政拨款基本支出决算</w:t>
      </w:r>
      <w:bookmarkEnd w:id="55"/>
      <w:bookmarkEnd w:id="56"/>
      <w:bookmarkEnd w:id="57"/>
      <w:bookmarkEnd w:id="58"/>
      <w:bookmarkEnd w:id="59"/>
      <w:bookmarkEnd w:id="60"/>
      <w:r>
        <w:rPr>
          <w:rFonts w:hint="eastAsia" w:ascii="黑体" w:hAnsi="黑体" w:eastAsia="黑体" w:cs="黑体"/>
          <w:color w:val="auto"/>
          <w:sz w:val="32"/>
          <w:szCs w:val="32"/>
        </w:rPr>
        <w:t>公开表</w:t>
      </w:r>
    </w:p>
    <w:p>
      <w:pPr>
        <w:spacing w:line="578" w:lineRule="exact"/>
        <w:ind w:left="1118" w:leftChars="304" w:hanging="480" w:hangingChars="150"/>
        <w:rPr>
          <w:rFonts w:hint="eastAsia" w:ascii="黑体" w:hAnsi="黑体" w:eastAsia="黑体" w:cs="黑体"/>
          <w:color w:val="auto"/>
          <w:sz w:val="32"/>
          <w:szCs w:val="32"/>
        </w:rPr>
      </w:pPr>
      <w:bookmarkStart w:id="61" w:name="_Toc13345_WPSOffice_Level2"/>
      <w:bookmarkStart w:id="62" w:name="_Toc21310_WPSOffice_Level2"/>
      <w:bookmarkStart w:id="63" w:name="_Toc6020_WPSOffice_Level2"/>
      <w:bookmarkStart w:id="64" w:name="_Toc5594_WPSOffice_Level2"/>
      <w:bookmarkStart w:id="65" w:name="_Toc11799_WPSOffice_Level2"/>
      <w:bookmarkStart w:id="66" w:name="_Toc1533_WPSOffice_Level2"/>
      <w:r>
        <w:rPr>
          <w:rFonts w:hint="eastAsia" w:ascii="黑体" w:hAnsi="黑体" w:eastAsia="黑体" w:cs="黑体"/>
          <w:color w:val="auto"/>
          <w:sz w:val="32"/>
          <w:szCs w:val="32"/>
        </w:rPr>
        <w:t>七、政府性基金预算财政拨款收入支出决算</w:t>
      </w:r>
      <w:bookmarkEnd w:id="61"/>
      <w:bookmarkEnd w:id="62"/>
      <w:bookmarkEnd w:id="63"/>
      <w:bookmarkEnd w:id="64"/>
      <w:bookmarkEnd w:id="65"/>
      <w:bookmarkEnd w:id="66"/>
      <w:r>
        <w:rPr>
          <w:rFonts w:hint="eastAsia" w:ascii="黑体" w:hAnsi="黑体" w:eastAsia="黑体" w:cs="黑体"/>
          <w:color w:val="auto"/>
          <w:sz w:val="32"/>
          <w:szCs w:val="32"/>
        </w:rPr>
        <w:t>公开表</w:t>
      </w:r>
    </w:p>
    <w:p>
      <w:pPr>
        <w:spacing w:line="578" w:lineRule="exact"/>
        <w:ind w:left="1118" w:leftChars="304" w:hanging="480" w:hangingChars="150"/>
        <w:rPr>
          <w:rFonts w:hint="eastAsia" w:ascii="黑体" w:hAnsi="黑体" w:eastAsia="黑体" w:cs="黑体"/>
          <w:color w:val="auto"/>
          <w:sz w:val="32"/>
          <w:szCs w:val="32"/>
        </w:rPr>
      </w:pPr>
      <w:r>
        <w:rPr>
          <w:rFonts w:hint="eastAsia" w:ascii="黑体" w:hAnsi="黑体" w:eastAsia="黑体" w:cs="黑体"/>
          <w:color w:val="auto"/>
          <w:sz w:val="32"/>
          <w:szCs w:val="32"/>
        </w:rPr>
        <w:t>八、国有资本经营预算财政拨款收入支出决算公开表</w:t>
      </w:r>
    </w:p>
    <w:p>
      <w:pPr>
        <w:spacing w:line="578" w:lineRule="exact"/>
        <w:ind w:firstLine="640"/>
        <w:rPr>
          <w:rFonts w:hint="eastAsia" w:ascii="黑体" w:hAnsi="黑体" w:eastAsia="黑体" w:cs="黑体"/>
          <w:color w:val="auto"/>
          <w:sz w:val="32"/>
          <w:szCs w:val="32"/>
        </w:rPr>
      </w:pPr>
      <w:bookmarkStart w:id="67" w:name="_Toc19961_WPSOffice_Level2"/>
      <w:bookmarkStart w:id="68" w:name="_Toc9377_WPSOffice_Level2"/>
      <w:bookmarkStart w:id="69" w:name="_Toc1820_WPSOffice_Level2"/>
      <w:bookmarkStart w:id="70" w:name="_Toc29886_WPSOffice_Level2"/>
      <w:r>
        <w:rPr>
          <w:rFonts w:hint="eastAsia" w:ascii="黑体" w:hAnsi="黑体" w:eastAsia="黑体" w:cs="黑体"/>
          <w:color w:val="auto"/>
          <w:sz w:val="32"/>
          <w:szCs w:val="32"/>
        </w:rPr>
        <w:t>九、财政拨款“三公”经费支出决算</w:t>
      </w:r>
      <w:bookmarkEnd w:id="67"/>
      <w:bookmarkEnd w:id="68"/>
      <w:bookmarkEnd w:id="69"/>
      <w:bookmarkEnd w:id="70"/>
      <w:r>
        <w:rPr>
          <w:rFonts w:hint="eastAsia" w:ascii="黑体" w:hAnsi="黑体" w:eastAsia="黑体" w:cs="黑体"/>
          <w:color w:val="auto"/>
          <w:sz w:val="32"/>
          <w:szCs w:val="32"/>
        </w:rPr>
        <w:t>公开表</w:t>
      </w:r>
    </w:p>
    <w:p>
      <w:pPr>
        <w:spacing w:line="578" w:lineRule="exact"/>
        <w:ind w:firstLine="640"/>
        <w:rPr>
          <w:rFonts w:hint="eastAsia" w:ascii="仿宋" w:hAnsi="仿宋" w:eastAsia="仿宋" w:cs="仿宋"/>
          <w:color w:val="auto"/>
          <w:w w:val="100"/>
          <w:sz w:val="32"/>
          <w:szCs w:val="32"/>
        </w:rPr>
      </w:pPr>
      <w:r>
        <w:rPr>
          <w:rFonts w:hint="eastAsia" w:ascii="仿宋" w:hAnsi="仿宋" w:eastAsia="仿宋" w:cs="仿宋"/>
          <w:color w:val="auto"/>
          <w:w w:val="100"/>
          <w:sz w:val="32"/>
          <w:szCs w:val="32"/>
        </w:rPr>
        <w:t xml:space="preserve">以上报表见附件1。   </w:t>
      </w:r>
    </w:p>
    <w:p>
      <w:pPr>
        <w:spacing w:line="578" w:lineRule="exact"/>
        <w:rPr>
          <w:rFonts w:hint="eastAsia" w:ascii="黑体" w:hAnsi="黑体" w:eastAsia="黑体" w:cs="黑体"/>
          <w:color w:val="auto"/>
          <w:sz w:val="32"/>
          <w:szCs w:val="32"/>
        </w:rPr>
      </w:pPr>
    </w:p>
    <w:p>
      <w:pPr>
        <w:spacing w:line="578" w:lineRule="exact"/>
        <w:jc w:val="center"/>
        <w:rPr>
          <w:rFonts w:hint="eastAsia" w:ascii="黑体" w:hAnsi="ˎ̥" w:eastAsia="黑体"/>
          <w:color w:val="auto"/>
          <w:sz w:val="32"/>
          <w:szCs w:val="32"/>
        </w:rPr>
      </w:pPr>
      <w:bookmarkStart w:id="71" w:name="_Toc29683_WPSOffice_Level1"/>
      <w:bookmarkStart w:id="72" w:name="_Toc28629_WPSOffice_Level1"/>
      <w:bookmarkStart w:id="73" w:name="_Toc16686_WPSOffice_Level1"/>
      <w:bookmarkStart w:id="74" w:name="_Toc4402_WPSOffice_Level1"/>
      <w:bookmarkStart w:id="75" w:name="_Toc27590_WPSOffice_Level1"/>
      <w:bookmarkStart w:id="76" w:name="_Toc31264_WPSOffice_Level1"/>
      <w:r>
        <w:rPr>
          <w:rFonts w:hint="eastAsia" w:ascii="黑体" w:hAnsi="ˎ̥" w:eastAsia="黑体"/>
          <w:color w:val="auto"/>
          <w:sz w:val="32"/>
          <w:szCs w:val="32"/>
        </w:rPr>
        <w:t xml:space="preserve">第三部分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年度部门决算情况说明</w:t>
      </w:r>
      <w:bookmarkEnd w:id="71"/>
      <w:bookmarkEnd w:id="72"/>
      <w:bookmarkEnd w:id="73"/>
      <w:bookmarkEnd w:id="74"/>
      <w:bookmarkEnd w:id="75"/>
      <w:bookmarkEnd w:id="76"/>
    </w:p>
    <w:p>
      <w:pPr>
        <w:spacing w:line="578" w:lineRule="exact"/>
        <w:jc w:val="center"/>
        <w:rPr>
          <w:rFonts w:hint="eastAsia" w:ascii="黑体" w:hAnsi="ˎ̥"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黑体" w:hAnsi="黑体" w:eastAsia="黑体" w:cs="黑体"/>
          <w:bCs/>
          <w:color w:val="auto"/>
          <w:sz w:val="32"/>
          <w:szCs w:val="32"/>
        </w:rPr>
        <w:t>一、收入支出总体情况说明</w:t>
      </w:r>
      <w:r>
        <w:rPr>
          <w:rFonts w:hint="eastAsia" w:ascii="黑体" w:hAnsi="黑体" w:eastAsia="黑体" w:cs="黑体"/>
          <w:bCs/>
          <w:color w:val="auto"/>
          <w:sz w:val="32"/>
          <w:szCs w:val="32"/>
        </w:rPr>
        <w:br w:type="textWrapping"/>
      </w:r>
      <w:r>
        <w:rPr>
          <w:rFonts w:hint="eastAsia" w:ascii="楷体_GB2312" w:hAnsi="ˎ̥" w:eastAsia="楷体_GB2312"/>
          <w:color w:val="auto"/>
          <w:sz w:val="32"/>
          <w:szCs w:val="32"/>
        </w:rPr>
        <w:t xml:space="preserve">    </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年度收入总计</w:t>
      </w:r>
      <w:r>
        <w:rPr>
          <w:rFonts w:hint="default" w:ascii="仿宋_GB2312" w:hAnsi="ˎ̥" w:eastAsia="仿宋_GB2312"/>
          <w:color w:val="auto"/>
          <w:sz w:val="32"/>
          <w:szCs w:val="32"/>
          <w:lang w:val="en-US"/>
        </w:rPr>
        <w:t>13,788.31</w:t>
      </w:r>
      <w:r>
        <w:rPr>
          <w:rFonts w:hint="eastAsia" w:ascii="仿宋_GB2312" w:hAnsi="ˎ̥" w:eastAsia="仿宋_GB2312"/>
          <w:color w:val="auto"/>
          <w:sz w:val="32"/>
          <w:szCs w:val="32"/>
        </w:rPr>
        <w:t>万元，支出总计</w:t>
      </w:r>
      <w:r>
        <w:rPr>
          <w:rFonts w:hint="default" w:ascii="仿宋_GB2312" w:hAnsi="ˎ̥" w:eastAsia="仿宋_GB2312"/>
          <w:color w:val="auto"/>
          <w:sz w:val="32"/>
          <w:szCs w:val="32"/>
          <w:lang w:val="en-US"/>
        </w:rPr>
        <w:t>13,788.31</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年度相比，收入、支出总计各增加</w:t>
      </w:r>
      <w:r>
        <w:rPr>
          <w:rFonts w:hint="eastAsia" w:ascii="仿宋_GB2312" w:hAnsi="ˎ̥" w:eastAsia="仿宋_GB2312"/>
          <w:color w:val="auto"/>
          <w:sz w:val="32"/>
          <w:szCs w:val="32"/>
          <w:lang w:val="en-US" w:eastAsia="zh-CN"/>
        </w:rPr>
        <w:t>688.54</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5.3</w:t>
      </w:r>
      <w:r>
        <w:rPr>
          <w:rFonts w:hint="eastAsia" w:ascii="仿宋_GB2312" w:hAnsi="ˎ̥" w:eastAsia="仿宋_GB2312"/>
          <w:color w:val="auto"/>
          <w:sz w:val="32"/>
          <w:szCs w:val="32"/>
        </w:rPr>
        <w:t>%。主要原因：</w:t>
      </w:r>
      <w:r>
        <w:rPr>
          <w:rFonts w:hint="eastAsia" w:ascii="仿宋_GB2312" w:hAnsi="ˎ̥" w:eastAsia="仿宋_GB2312"/>
          <w:color w:val="auto"/>
          <w:sz w:val="32"/>
          <w:szCs w:val="32"/>
          <w:lang w:val="en-US" w:eastAsia="zh-CN"/>
        </w:rPr>
        <w:t>其他收入增加，即根据单位建设进度及实际工作需要，增加了市财政对基建项目进度款及聘用制法官助理的经费拨付</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color w:val="auto"/>
          <w:sz w:val="32"/>
          <w:szCs w:val="32"/>
        </w:rPr>
      </w:pPr>
      <w:r>
        <w:rPr>
          <w:rFonts w:hint="eastAsia" w:ascii="楷体" w:hAnsi="楷体" w:eastAsia="楷体" w:cs="楷体"/>
          <w:color w:val="auto"/>
          <w:sz w:val="32"/>
          <w:szCs w:val="32"/>
        </w:rPr>
        <w:t>（一</w:t>
      </w:r>
      <w:r>
        <w:rPr>
          <w:rFonts w:ascii="楷体" w:hAnsi="楷体" w:eastAsia="楷体" w:cs="楷体"/>
          <w:color w:val="auto"/>
          <w:sz w:val="32"/>
          <w:szCs w:val="32"/>
        </w:rPr>
        <w:t>）</w:t>
      </w:r>
      <w:r>
        <w:rPr>
          <w:rFonts w:hint="eastAsia" w:ascii="楷体" w:hAnsi="楷体" w:eastAsia="楷体" w:cs="楷体"/>
          <w:color w:val="auto"/>
          <w:sz w:val="32"/>
          <w:szCs w:val="32"/>
        </w:rPr>
        <w:t>收入</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本年</w:t>
      </w:r>
      <w:r>
        <w:rPr>
          <w:rFonts w:ascii="仿宋_GB2312" w:hAnsi="ˎ̥" w:eastAsia="仿宋_GB2312"/>
          <w:color w:val="auto"/>
          <w:sz w:val="32"/>
          <w:szCs w:val="32"/>
        </w:rPr>
        <w:t>收入</w:t>
      </w:r>
      <w:r>
        <w:rPr>
          <w:rFonts w:hint="default" w:ascii="仿宋_GB2312" w:hAnsi="ˎ̥" w:eastAsia="仿宋_GB2312"/>
          <w:color w:val="auto"/>
          <w:sz w:val="32"/>
          <w:szCs w:val="32"/>
          <w:lang w:val="en-US"/>
        </w:rPr>
        <w:t>9,975.6</w:t>
      </w:r>
      <w:r>
        <w:rPr>
          <w:rFonts w:hint="eastAsia" w:ascii="仿宋_GB2312" w:hAnsi="ˎ̥" w:eastAsia="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使用非财政拨款结余</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val="en-US" w:eastAsia="zh-CN"/>
        </w:rPr>
        <w:t>持平</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年初结转结余</w:t>
      </w:r>
      <w:r>
        <w:rPr>
          <w:rFonts w:hint="default" w:ascii="仿宋_GB2312" w:hAnsi="ˎ̥" w:eastAsia="仿宋_GB2312"/>
          <w:color w:val="auto"/>
          <w:sz w:val="32"/>
          <w:szCs w:val="32"/>
          <w:lang w:val="en-US"/>
        </w:rPr>
        <w:t>3,812.71</w:t>
      </w:r>
      <w:r>
        <w:rPr>
          <w:rFonts w:hint="eastAsia" w:ascii="仿宋_GB2312" w:hAnsi="ˎ̥" w:eastAsia="仿宋_GB2312"/>
          <w:color w:val="auto"/>
          <w:sz w:val="32"/>
          <w:szCs w:val="32"/>
        </w:rPr>
        <w:t>万元，主要是</w:t>
      </w:r>
      <w:r>
        <w:rPr>
          <w:rFonts w:hint="eastAsia" w:ascii="仿宋_GB2312" w:hAnsi="ˎ̥" w:eastAsia="仿宋_GB2312"/>
          <w:color w:val="auto"/>
          <w:sz w:val="32"/>
          <w:szCs w:val="32"/>
          <w:lang w:val="en-US" w:eastAsia="zh-CN"/>
        </w:rPr>
        <w:t>基建并账项目、历史遗留的挂账项目及项目拨款结转</w:t>
      </w:r>
      <w:r>
        <w:rPr>
          <w:rFonts w:hint="eastAsia" w:ascii="仿宋_GB2312" w:hAnsi="ˎ̥" w:eastAsia="仿宋_GB2312"/>
          <w:color w:val="auto"/>
          <w:sz w:val="32"/>
          <w:szCs w:val="32"/>
        </w:rPr>
        <w:t>，</w:t>
      </w:r>
      <w:r>
        <w:rPr>
          <w:rFonts w:hint="eastAsia" w:ascii="仿宋_GB2312" w:hAnsi="ˎ̥" w:eastAsia="仿宋_GB2312"/>
          <w:color w:val="auto"/>
          <w:sz w:val="32"/>
          <w:szCs w:val="32"/>
          <w:lang w:val="en-US" w:eastAsia="zh-CN"/>
        </w:rPr>
        <w:t>我院正进行账务梳理工作对账务进行梳理核对。</w:t>
      </w:r>
      <w:r>
        <w:rPr>
          <w:rFonts w:hint="eastAsia" w:ascii="仿宋_GB2312" w:hAnsi="ˎ̥" w:eastAsia="仿宋_GB2312"/>
          <w:color w:val="auto"/>
          <w:sz w:val="32"/>
          <w:szCs w:val="32"/>
        </w:rPr>
        <w:t>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年度决算数增加</w:t>
      </w:r>
      <w:r>
        <w:rPr>
          <w:rFonts w:hint="eastAsia" w:ascii="仿宋_GB2312" w:hAnsi="ˎ̥" w:eastAsia="仿宋_GB2312"/>
          <w:color w:val="auto"/>
          <w:sz w:val="32"/>
          <w:szCs w:val="32"/>
          <w:lang w:val="en-US" w:eastAsia="zh-CN"/>
        </w:rPr>
        <w:t>13.12</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0.3</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val="en-US" w:eastAsia="zh-CN"/>
        </w:rPr>
        <w:t>因工作需要，2024年增加了财政拨款</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rPr>
        <w:t>（二</w:t>
      </w:r>
      <w:r>
        <w:rPr>
          <w:rFonts w:ascii="楷体" w:hAnsi="楷体" w:eastAsia="楷体" w:cs="楷体"/>
          <w:color w:val="auto"/>
          <w:sz w:val="32"/>
          <w:szCs w:val="32"/>
        </w:rPr>
        <w:t>）</w:t>
      </w:r>
      <w:r>
        <w:rPr>
          <w:rFonts w:hint="eastAsia" w:ascii="楷体" w:hAnsi="楷体" w:eastAsia="楷体" w:cs="楷体"/>
          <w:color w:val="auto"/>
          <w:sz w:val="32"/>
          <w:szCs w:val="32"/>
        </w:rPr>
        <w:t>支出</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default" w:ascii="仿宋_GB2312" w:hAnsi="ˎ̥" w:eastAsia="仿宋_GB2312"/>
          <w:color w:val="auto"/>
          <w:sz w:val="32"/>
          <w:szCs w:val="32"/>
          <w:lang w:val="en-US"/>
        </w:rPr>
        <w:t>9,912.03</w:t>
      </w:r>
      <w:r>
        <w:rPr>
          <w:rFonts w:hint="eastAsia" w:ascii="仿宋_GB2312" w:hAnsi="ˎ̥" w:eastAsia="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结余分配</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val="en-US" w:eastAsia="zh-CN"/>
        </w:rPr>
        <w:t>持平</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年末结转结余</w:t>
      </w:r>
      <w:r>
        <w:rPr>
          <w:rFonts w:hint="default" w:ascii="仿宋_GB2312" w:hAnsi="ˎ̥" w:eastAsia="仿宋_GB2312"/>
          <w:color w:val="auto"/>
          <w:sz w:val="32"/>
          <w:szCs w:val="32"/>
          <w:lang w:val="en-US"/>
        </w:rPr>
        <w:t>3,876.29</w:t>
      </w:r>
      <w:r>
        <w:rPr>
          <w:rFonts w:hint="eastAsia" w:ascii="仿宋_GB2312" w:hAnsi="ˎ̥" w:eastAsia="仿宋_GB2312"/>
          <w:color w:val="auto"/>
          <w:sz w:val="32"/>
          <w:szCs w:val="32"/>
        </w:rPr>
        <w:t>万元，主要是基建并账项目、历史遗留的挂账项目及项目拨款结转，较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年度决算数增加</w:t>
      </w:r>
      <w:r>
        <w:rPr>
          <w:rFonts w:hint="eastAsia" w:ascii="仿宋_GB2312" w:hAnsi="ˎ̥" w:eastAsia="仿宋_GB2312"/>
          <w:color w:val="auto"/>
          <w:sz w:val="32"/>
          <w:szCs w:val="32"/>
          <w:lang w:val="en-US" w:eastAsia="zh-CN"/>
        </w:rPr>
        <w:t>64.32</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1.7</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eastAsia="zh-CN"/>
        </w:rPr>
        <w:t>由于</w:t>
      </w:r>
      <w:r>
        <w:rPr>
          <w:rFonts w:hint="eastAsia" w:ascii="仿宋_GB2312" w:hAnsi="ˎ̥" w:eastAsia="仿宋_GB2312"/>
          <w:color w:val="auto"/>
          <w:sz w:val="32"/>
          <w:szCs w:val="32"/>
          <w:lang w:val="en-US" w:eastAsia="zh-CN"/>
        </w:rPr>
        <w:t>办案工作需要，2024年增加的聘用制法官助理经费拨款剩余，该项剩余资金结转至下一年支出</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黑体" w:hAnsi="黑体" w:eastAsia="黑体" w:cs="黑体"/>
          <w:bCs/>
          <w:color w:val="auto"/>
          <w:sz w:val="32"/>
          <w:szCs w:val="32"/>
        </w:rPr>
        <w:t>二、收入决算情况说明</w:t>
      </w:r>
      <w:r>
        <w:rPr>
          <w:rFonts w:hint="eastAsia" w:ascii="黑体" w:hAnsi="黑体" w:eastAsia="黑体" w:cs="黑体"/>
          <w:bCs/>
          <w:color w:val="auto"/>
          <w:sz w:val="32"/>
          <w:szCs w:val="32"/>
        </w:rPr>
        <w:br w:type="textWrapping"/>
      </w:r>
      <w:r>
        <w:rPr>
          <w:rFonts w:hint="eastAsia" w:ascii="仿宋_GB2312" w:hAnsi="ˎ̥" w:eastAsia="仿宋_GB2312"/>
          <w:color w:val="auto"/>
          <w:sz w:val="32"/>
          <w:szCs w:val="32"/>
        </w:rPr>
        <w:t xml:space="preserve">    本年收入</w:t>
      </w:r>
      <w:r>
        <w:rPr>
          <w:rFonts w:hint="default" w:ascii="仿宋_GB2312" w:hAnsi="ˎ̥" w:eastAsia="仿宋_GB2312"/>
          <w:color w:val="auto"/>
          <w:sz w:val="32"/>
          <w:szCs w:val="32"/>
          <w:lang w:val="en-US"/>
        </w:rPr>
        <w:t>9,975.6</w:t>
      </w:r>
      <w:r>
        <w:rPr>
          <w:rFonts w:hint="eastAsia" w:ascii="仿宋_GB2312" w:hAnsi="ˎ̥" w:eastAsia="仿宋_GB2312"/>
          <w:color w:val="auto"/>
          <w:sz w:val="32"/>
          <w:szCs w:val="32"/>
        </w:rPr>
        <w:t>万元，其中：财政拨款收入</w:t>
      </w:r>
      <w:r>
        <w:rPr>
          <w:rFonts w:hint="default" w:ascii="仿宋_GB2312" w:hAnsi="ˎ̥" w:eastAsia="仿宋_GB2312"/>
          <w:color w:val="auto"/>
          <w:sz w:val="32"/>
          <w:szCs w:val="32"/>
          <w:lang w:val="en-US"/>
        </w:rPr>
        <w:t>8,712.23</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87.3</w:t>
      </w:r>
      <w:r>
        <w:rPr>
          <w:rFonts w:hint="eastAsia" w:ascii="仿宋_GB2312" w:hAnsi="ˎ̥" w:eastAsia="仿宋_GB2312"/>
          <w:color w:val="auto"/>
          <w:sz w:val="32"/>
          <w:szCs w:val="32"/>
        </w:rPr>
        <w:t>%；上级补助收入</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万元；事业收入</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万元；经营收入</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万元；附属单位上缴收入</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万元；其他收入</w:t>
      </w:r>
      <w:r>
        <w:rPr>
          <w:rFonts w:hint="default" w:ascii="仿宋_GB2312" w:hAnsi="ˎ̥" w:eastAsia="仿宋_GB2312"/>
          <w:color w:val="auto"/>
          <w:sz w:val="32"/>
          <w:szCs w:val="32"/>
          <w:lang w:val="en-US"/>
        </w:rPr>
        <w:t>1,263.38</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12.7</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三、支出决算情况说明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default" w:ascii="仿宋_GB2312" w:hAnsi="ˎ̥" w:eastAsia="仿宋_GB2312"/>
          <w:color w:val="auto"/>
          <w:sz w:val="32"/>
          <w:szCs w:val="32"/>
          <w:lang w:val="en-US"/>
        </w:rPr>
        <w:t>9,912.03</w:t>
      </w:r>
      <w:r>
        <w:rPr>
          <w:rFonts w:hint="eastAsia" w:ascii="仿宋_GB2312" w:hAnsi="ˎ̥" w:eastAsia="仿宋_GB2312"/>
          <w:color w:val="auto"/>
          <w:sz w:val="32"/>
          <w:szCs w:val="32"/>
        </w:rPr>
        <w:t>万元，其中：基本支出</w:t>
      </w:r>
      <w:r>
        <w:rPr>
          <w:rFonts w:hint="default" w:ascii="仿宋_GB2312" w:hAnsi="ˎ̥" w:eastAsia="仿宋_GB2312"/>
          <w:color w:val="auto"/>
          <w:sz w:val="32"/>
          <w:szCs w:val="32"/>
          <w:lang w:val="en-US"/>
        </w:rPr>
        <w:t>6,238.71</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62.9</w:t>
      </w:r>
      <w:r>
        <w:rPr>
          <w:rFonts w:hint="eastAsia" w:ascii="仿宋_GB2312" w:hAnsi="ˎ̥" w:eastAsia="仿宋_GB2312"/>
          <w:color w:val="auto"/>
          <w:sz w:val="32"/>
          <w:szCs w:val="32"/>
        </w:rPr>
        <w:t>%；项目支出</w:t>
      </w:r>
      <w:r>
        <w:rPr>
          <w:rFonts w:hint="default" w:ascii="仿宋_GB2312" w:hAnsi="ˎ̥" w:eastAsia="仿宋_GB2312"/>
          <w:color w:val="auto"/>
          <w:sz w:val="32"/>
          <w:szCs w:val="32"/>
          <w:lang w:val="en-US"/>
        </w:rPr>
        <w:t>3,673.32</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37.1</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年度财政拨款收入</w:t>
      </w:r>
      <w:r>
        <w:rPr>
          <w:rFonts w:hint="default" w:ascii="仿宋_GB2312" w:hAnsi="ˎ̥" w:eastAsia="仿宋_GB2312"/>
          <w:color w:val="auto"/>
          <w:sz w:val="32"/>
          <w:szCs w:val="32"/>
          <w:lang w:val="en-US"/>
        </w:rPr>
        <w:t>8,712.23</w:t>
      </w:r>
      <w:r>
        <w:rPr>
          <w:rFonts w:hint="eastAsia" w:ascii="仿宋_GB2312" w:hAnsi="ˎ̥" w:eastAsia="仿宋_GB2312"/>
          <w:color w:val="auto"/>
          <w:sz w:val="32"/>
          <w:szCs w:val="32"/>
        </w:rPr>
        <w:t>万元，支出</w:t>
      </w:r>
      <w:r>
        <w:rPr>
          <w:rFonts w:hint="default" w:ascii="仿宋_GB2312" w:hAnsi="ˎ̥" w:eastAsia="仿宋_GB2312"/>
          <w:color w:val="auto"/>
          <w:sz w:val="32"/>
          <w:szCs w:val="32"/>
          <w:lang w:val="en-US"/>
        </w:rPr>
        <w:t>8,712.23</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年度相比，财政拨款收入减少</w:t>
      </w:r>
      <w:r>
        <w:rPr>
          <w:rFonts w:hint="eastAsia" w:ascii="仿宋_GB2312" w:hAnsi="ˎ̥" w:eastAsia="仿宋_GB2312"/>
          <w:color w:val="auto"/>
          <w:sz w:val="32"/>
          <w:szCs w:val="32"/>
          <w:lang w:val="en-US" w:eastAsia="zh-CN"/>
        </w:rPr>
        <w:t>347.12</w:t>
      </w:r>
      <w:r>
        <w:rPr>
          <w:rFonts w:hint="eastAsia" w:ascii="仿宋_GB2312" w:hAnsi="ˎ̥" w:eastAsia="仿宋_GB2312"/>
          <w:color w:val="auto"/>
          <w:sz w:val="32"/>
          <w:szCs w:val="32"/>
        </w:rPr>
        <w:t>万元，下降</w:t>
      </w:r>
      <w:r>
        <w:rPr>
          <w:rFonts w:hint="eastAsia" w:ascii="仿宋_GB2312" w:hAnsi="ˎ̥" w:eastAsia="仿宋_GB2312"/>
          <w:color w:val="auto"/>
          <w:sz w:val="32"/>
          <w:szCs w:val="32"/>
          <w:lang w:val="en-US" w:eastAsia="zh-CN"/>
        </w:rPr>
        <w:t>3.8</w:t>
      </w:r>
      <w:r>
        <w:rPr>
          <w:rFonts w:hint="eastAsia" w:ascii="仿宋_GB2312" w:hAnsi="ˎ̥" w:eastAsia="仿宋_GB2312"/>
          <w:color w:val="auto"/>
          <w:sz w:val="32"/>
          <w:szCs w:val="32"/>
        </w:rPr>
        <w:t>%，主要原因：</w:t>
      </w:r>
      <w:r>
        <w:rPr>
          <w:rFonts w:hint="eastAsia" w:ascii="仿宋_GB2312" w:hAnsi="仿宋" w:eastAsia="仿宋_GB2312"/>
          <w:color w:val="auto"/>
          <w:sz w:val="32"/>
          <w:szCs w:val="32"/>
          <w:lang w:val="en-US" w:eastAsia="zh-CN"/>
        </w:rPr>
        <w:t>厉行节约、社保扣缴变化及2024年度职业年金记时减少等原因</w:t>
      </w:r>
      <w:r>
        <w:rPr>
          <w:rFonts w:hint="eastAsia" w:ascii="仿宋_GB2312" w:hAnsi="ˎ̥" w:eastAsia="仿宋_GB2312"/>
          <w:color w:val="auto"/>
          <w:sz w:val="32"/>
          <w:szCs w:val="32"/>
        </w:rPr>
        <w:t>。支出减少</w:t>
      </w:r>
      <w:r>
        <w:rPr>
          <w:rFonts w:hint="eastAsia" w:ascii="仿宋_GB2312" w:hAnsi="ˎ̥" w:eastAsia="仿宋_GB2312"/>
          <w:color w:val="auto"/>
          <w:sz w:val="32"/>
          <w:szCs w:val="32"/>
          <w:lang w:val="en-US" w:eastAsia="zh-CN"/>
        </w:rPr>
        <w:t>347.12</w:t>
      </w:r>
      <w:r>
        <w:rPr>
          <w:rFonts w:hint="eastAsia" w:ascii="仿宋_GB2312" w:hAnsi="ˎ̥" w:eastAsia="仿宋_GB2312"/>
          <w:color w:val="auto"/>
          <w:sz w:val="32"/>
          <w:szCs w:val="32"/>
        </w:rPr>
        <w:t>万元，下降</w:t>
      </w:r>
      <w:r>
        <w:rPr>
          <w:rFonts w:hint="eastAsia" w:ascii="仿宋_GB2312" w:hAnsi="ˎ̥" w:eastAsia="仿宋_GB2312"/>
          <w:color w:val="auto"/>
          <w:sz w:val="32"/>
          <w:szCs w:val="32"/>
          <w:lang w:val="en-US" w:eastAsia="zh-CN"/>
        </w:rPr>
        <w:t>3.8</w:t>
      </w:r>
      <w:r>
        <w:rPr>
          <w:rFonts w:hint="eastAsia" w:ascii="仿宋_GB2312" w:hAnsi="ˎ̥" w:eastAsia="仿宋_GB2312"/>
          <w:color w:val="auto"/>
          <w:sz w:val="32"/>
          <w:szCs w:val="32"/>
        </w:rPr>
        <w:t>%，主要原因：</w:t>
      </w:r>
      <w:r>
        <w:rPr>
          <w:rFonts w:hint="eastAsia" w:ascii="仿宋_GB2312" w:hAnsi="仿宋" w:eastAsia="仿宋_GB2312"/>
          <w:color w:val="auto"/>
          <w:sz w:val="32"/>
          <w:szCs w:val="32"/>
          <w:lang w:val="en-US" w:eastAsia="zh-CN"/>
        </w:rPr>
        <w:t>厉行节约、</w:t>
      </w:r>
      <w:r>
        <w:rPr>
          <w:rFonts w:hint="eastAsia" w:ascii="仿宋_GB2312" w:hAnsi="ˎ̥" w:eastAsia="仿宋_GB2312"/>
          <w:color w:val="auto"/>
          <w:sz w:val="32"/>
          <w:szCs w:val="32"/>
          <w:lang w:val="en-US" w:eastAsia="zh-CN"/>
        </w:rPr>
        <w:t>社保支出及需记实职业年金支出减少</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财政拨款年初结转结余</w:t>
      </w:r>
      <w:r>
        <w:rPr>
          <w:rFonts w:hint="default" w:ascii="仿宋_GB2312" w:hAnsi="ˎ̥" w:eastAsia="仿宋_GB2312"/>
          <w:color w:val="auto"/>
          <w:sz w:val="32"/>
          <w:szCs w:val="32"/>
          <w:lang w:val="en-US"/>
        </w:rPr>
        <w:t>2,707.29</w:t>
      </w:r>
      <w:r>
        <w:rPr>
          <w:rFonts w:hint="eastAsia" w:ascii="仿宋_GB2312" w:hAnsi="ˎ̥" w:eastAsia="仿宋_GB2312"/>
          <w:color w:val="auto"/>
          <w:sz w:val="32"/>
          <w:szCs w:val="32"/>
        </w:rPr>
        <w:t>万元，主要是主要是</w:t>
      </w:r>
      <w:r>
        <w:rPr>
          <w:rFonts w:hint="eastAsia" w:ascii="仿宋_GB2312" w:hAnsi="ˎ̥" w:eastAsia="仿宋_GB2312"/>
          <w:color w:val="auto"/>
          <w:sz w:val="32"/>
          <w:szCs w:val="32"/>
          <w:lang w:val="en-US" w:eastAsia="zh-CN"/>
        </w:rPr>
        <w:t>基建并账项目及历史遗留的挂账项目</w:t>
      </w:r>
      <w:r>
        <w:rPr>
          <w:rFonts w:hint="eastAsia" w:ascii="仿宋_GB2312" w:hAnsi="ˎ̥" w:eastAsia="仿宋_GB2312"/>
          <w:color w:val="auto"/>
          <w:sz w:val="32"/>
          <w:szCs w:val="32"/>
        </w:rPr>
        <w:t>，</w:t>
      </w:r>
      <w:r>
        <w:rPr>
          <w:rFonts w:hint="eastAsia" w:ascii="仿宋_GB2312" w:hAnsi="ˎ̥" w:eastAsia="仿宋_GB2312"/>
          <w:color w:val="auto"/>
          <w:sz w:val="32"/>
          <w:szCs w:val="32"/>
          <w:lang w:val="en-US" w:eastAsia="zh-CN"/>
        </w:rPr>
        <w:t>我院正进行账务梳理工作对账务进行梳理核对</w:t>
      </w:r>
      <w:r>
        <w:rPr>
          <w:rFonts w:hint="eastAsia" w:ascii="仿宋_GB2312" w:hAnsi="ˎ̥" w:eastAsia="仿宋_GB2312"/>
          <w:color w:val="auto"/>
          <w:sz w:val="32"/>
          <w:szCs w:val="32"/>
        </w:rPr>
        <w:t>，</w:t>
      </w:r>
      <w:r>
        <w:rPr>
          <w:rFonts w:hint="eastAsia" w:ascii="仿宋_GB2312" w:hAnsi="ˎ̥" w:eastAsia="仿宋_GB2312"/>
          <w:color w:val="auto"/>
          <w:sz w:val="32"/>
          <w:szCs w:val="32"/>
          <w:lang w:val="en-US" w:eastAsia="zh-CN"/>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val="en-US" w:eastAsia="zh-CN"/>
        </w:rPr>
        <w:t>持平</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财政拨款年末结转结余</w:t>
      </w:r>
      <w:r>
        <w:rPr>
          <w:rFonts w:hint="default" w:ascii="仿宋_GB2312" w:hAnsi="ˎ̥" w:eastAsia="仿宋_GB2312"/>
          <w:color w:val="auto"/>
          <w:sz w:val="32"/>
          <w:szCs w:val="32"/>
          <w:lang w:val="en-US"/>
        </w:rPr>
        <w:t>2,707.29</w:t>
      </w:r>
      <w:r>
        <w:rPr>
          <w:rFonts w:hint="eastAsia" w:ascii="仿宋_GB2312" w:hAnsi="ˎ̥" w:eastAsia="仿宋_GB2312"/>
          <w:color w:val="auto"/>
          <w:sz w:val="32"/>
          <w:szCs w:val="32"/>
        </w:rPr>
        <w:t>万元，主要是</w:t>
      </w:r>
      <w:r>
        <w:rPr>
          <w:rFonts w:hint="eastAsia" w:ascii="仿宋_GB2312" w:hAnsi="ˎ̥" w:eastAsia="仿宋_GB2312"/>
          <w:color w:val="auto"/>
          <w:sz w:val="32"/>
          <w:szCs w:val="32"/>
          <w:lang w:val="en-US" w:eastAsia="zh-CN"/>
        </w:rPr>
        <w:t>基建并账项目及历史遗留的挂账项目</w:t>
      </w:r>
      <w:r>
        <w:rPr>
          <w:rFonts w:hint="eastAsia" w:ascii="仿宋_GB2312" w:hAnsi="ˎ̥" w:eastAsia="仿宋_GB2312"/>
          <w:color w:val="auto"/>
          <w:sz w:val="32"/>
          <w:szCs w:val="32"/>
        </w:rPr>
        <w:t>，</w:t>
      </w:r>
      <w:r>
        <w:rPr>
          <w:rFonts w:hint="eastAsia" w:ascii="仿宋_GB2312" w:hAnsi="ˎ̥" w:eastAsia="仿宋_GB2312"/>
          <w:color w:val="auto"/>
          <w:sz w:val="32"/>
          <w:szCs w:val="32"/>
          <w:lang w:val="en-US" w:eastAsia="zh-CN"/>
        </w:rPr>
        <w:t>我院正进行账务梳理工作对账务进行梳理核对</w:t>
      </w:r>
      <w:r>
        <w:rPr>
          <w:rFonts w:hint="eastAsia" w:ascii="仿宋_GB2312" w:hAnsi="ˎ̥" w:eastAsia="仿宋_GB2312"/>
          <w:color w:val="auto"/>
          <w:sz w:val="32"/>
          <w:szCs w:val="32"/>
        </w:rPr>
        <w:t>，</w:t>
      </w:r>
      <w:r>
        <w:rPr>
          <w:rFonts w:hint="eastAsia" w:ascii="仿宋_GB2312" w:hAnsi="ˎ̥" w:eastAsia="仿宋_GB2312"/>
          <w:color w:val="auto"/>
          <w:sz w:val="32"/>
          <w:szCs w:val="32"/>
          <w:lang w:val="en-US" w:eastAsia="zh-CN"/>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val="en-US" w:eastAsia="zh-CN"/>
        </w:rPr>
        <w:t>持平</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77" w:name="_Toc23005_WPSOffice_Level2"/>
      <w:bookmarkStart w:id="78" w:name="_Toc17398_WPSOffice_Level2"/>
      <w:bookmarkStart w:id="79" w:name="_Toc9989_WPSOffice_Level2"/>
      <w:bookmarkStart w:id="80" w:name="_Toc13694_WPSOffice_Level2"/>
      <w:bookmarkStart w:id="81" w:name="_Toc19665_WPSOffice_Level2"/>
      <w:bookmarkStart w:id="82" w:name="_Toc21737_WPSOffice_Level2"/>
      <w:r>
        <w:rPr>
          <w:rFonts w:hint="eastAsia" w:ascii="楷体" w:hAnsi="楷体" w:eastAsia="楷体" w:cs="楷体"/>
          <w:color w:val="auto"/>
          <w:sz w:val="32"/>
          <w:szCs w:val="32"/>
        </w:rPr>
        <w:t>（一）一般公共预算财政拨款支出决算总体情况</w:t>
      </w:r>
      <w:bookmarkEnd w:id="77"/>
      <w:bookmarkEnd w:id="78"/>
      <w:bookmarkEnd w:id="79"/>
      <w:bookmarkEnd w:id="80"/>
      <w:bookmarkEnd w:id="81"/>
      <w:bookmarkEnd w:id="82"/>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w:t>
      </w:r>
      <w:r>
        <w:rPr>
          <w:rFonts w:hint="default" w:ascii="仿宋_GB2312" w:hAnsi="ˎ̥" w:eastAsia="仿宋_GB2312"/>
          <w:color w:val="auto"/>
          <w:sz w:val="32"/>
          <w:szCs w:val="32"/>
          <w:lang w:val="en-US"/>
        </w:rPr>
        <w:t>8,712.23</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年度相比，一般公共预算财政拨款支出减少</w:t>
      </w:r>
      <w:r>
        <w:rPr>
          <w:rFonts w:hint="eastAsia" w:ascii="仿宋_GB2312" w:hAnsi="ˎ̥" w:eastAsia="仿宋_GB2312"/>
          <w:color w:val="auto"/>
          <w:sz w:val="32"/>
          <w:szCs w:val="32"/>
          <w:lang w:val="en-US" w:eastAsia="zh-CN"/>
        </w:rPr>
        <w:t>347.12</w:t>
      </w:r>
      <w:r>
        <w:rPr>
          <w:rFonts w:hint="eastAsia" w:ascii="仿宋_GB2312" w:hAnsi="ˎ̥" w:eastAsia="仿宋_GB2312"/>
          <w:color w:val="auto"/>
          <w:sz w:val="32"/>
          <w:szCs w:val="32"/>
        </w:rPr>
        <w:t>万元，下降</w:t>
      </w:r>
      <w:r>
        <w:rPr>
          <w:rFonts w:hint="eastAsia" w:ascii="仿宋_GB2312" w:hAnsi="ˎ̥" w:eastAsia="仿宋_GB2312"/>
          <w:color w:val="auto"/>
          <w:sz w:val="32"/>
          <w:szCs w:val="32"/>
          <w:lang w:val="en-US" w:eastAsia="zh-CN"/>
        </w:rPr>
        <w:t>3.8</w:t>
      </w:r>
      <w:r>
        <w:rPr>
          <w:rFonts w:hint="eastAsia" w:ascii="仿宋_GB2312" w:hAnsi="ˎ̥" w:eastAsia="仿宋_GB2312"/>
          <w:color w:val="auto"/>
          <w:sz w:val="32"/>
          <w:szCs w:val="32"/>
        </w:rPr>
        <w:t>%，主要原因是</w:t>
      </w:r>
      <w:r>
        <w:rPr>
          <w:rFonts w:hint="eastAsia" w:ascii="仿宋_GB2312" w:hAnsi="仿宋" w:eastAsia="仿宋_GB2312"/>
          <w:color w:val="auto"/>
          <w:sz w:val="32"/>
          <w:szCs w:val="32"/>
          <w:lang w:val="en-US" w:eastAsia="zh-CN"/>
        </w:rPr>
        <w:t>厉行节约、</w:t>
      </w:r>
      <w:r>
        <w:rPr>
          <w:rFonts w:hint="eastAsia" w:ascii="仿宋_GB2312" w:hAnsi="ˎ̥" w:eastAsia="仿宋_GB2312"/>
          <w:color w:val="auto"/>
          <w:sz w:val="32"/>
          <w:szCs w:val="32"/>
          <w:lang w:val="en-US" w:eastAsia="zh-CN"/>
        </w:rPr>
        <w:t>社保支出及需记实职业年金支出减少</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83" w:name="_Toc27767_WPSOffice_Level2"/>
      <w:bookmarkStart w:id="84" w:name="_Toc19075_WPSOffice_Level2"/>
      <w:bookmarkStart w:id="85" w:name="_Toc18793_WPSOffice_Level2"/>
      <w:bookmarkStart w:id="86" w:name="_Toc23864_WPSOffice_Level2"/>
      <w:bookmarkStart w:id="87" w:name="_Toc2711_WPSOffice_Level2"/>
      <w:bookmarkStart w:id="88" w:name="_Toc19535_WPSOffice_Level2"/>
      <w:r>
        <w:rPr>
          <w:rFonts w:hint="eastAsia" w:ascii="楷体" w:hAnsi="楷体" w:eastAsia="楷体" w:cs="楷体"/>
          <w:color w:val="auto"/>
          <w:sz w:val="32"/>
          <w:szCs w:val="32"/>
        </w:rPr>
        <w:t>（二）一般公共预算财政拨款支出决算结构情况</w:t>
      </w:r>
      <w:bookmarkEnd w:id="83"/>
      <w:bookmarkEnd w:id="84"/>
      <w:bookmarkEnd w:id="85"/>
      <w:bookmarkEnd w:id="86"/>
      <w:bookmarkEnd w:id="87"/>
      <w:bookmarkEnd w:id="88"/>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w:t>
      </w:r>
      <w:r>
        <w:rPr>
          <w:rFonts w:hint="default" w:ascii="仿宋_GB2312" w:hAnsi="ˎ̥" w:eastAsia="仿宋_GB2312"/>
          <w:color w:val="auto"/>
          <w:sz w:val="32"/>
          <w:szCs w:val="32"/>
          <w:lang w:val="en-US"/>
        </w:rPr>
        <w:t>8,712.23</w:t>
      </w:r>
      <w:r>
        <w:rPr>
          <w:rFonts w:hint="eastAsia" w:ascii="仿宋_GB2312" w:hAnsi="ˎ̥" w:eastAsia="仿宋_GB2312"/>
          <w:color w:val="auto"/>
          <w:sz w:val="32"/>
          <w:szCs w:val="32"/>
        </w:rPr>
        <w:t>万元，主要用于以下方面：</w:t>
      </w:r>
      <w:r>
        <w:rPr>
          <w:rFonts w:hint="eastAsia" w:ascii="仿宋_GB2312" w:hAnsi="ˎ̥" w:eastAsia="仿宋_GB2312"/>
          <w:b/>
          <w:color w:val="auto"/>
          <w:sz w:val="32"/>
          <w:szCs w:val="32"/>
        </w:rPr>
        <w:t>公共安全支出（类）</w:t>
      </w:r>
      <w:r>
        <w:rPr>
          <w:rFonts w:hint="eastAsia" w:ascii="仿宋_GB2312" w:hAnsi="ˎ̥" w:eastAsia="仿宋_GB2312"/>
          <w:color w:val="auto"/>
          <w:sz w:val="32"/>
          <w:szCs w:val="32"/>
        </w:rPr>
        <w:t>支出7,320.54万元，占</w:t>
      </w:r>
      <w:r>
        <w:rPr>
          <w:rFonts w:hint="eastAsia" w:ascii="仿宋_GB2312" w:hAnsi="ˎ̥" w:eastAsia="仿宋_GB2312"/>
          <w:color w:val="auto"/>
          <w:sz w:val="32"/>
          <w:szCs w:val="32"/>
          <w:lang w:val="en-US" w:eastAsia="zh-CN"/>
        </w:rPr>
        <w:t>84</w:t>
      </w:r>
      <w:r>
        <w:rPr>
          <w:rFonts w:hint="eastAsia" w:ascii="仿宋_GB2312" w:hAnsi="ˎ̥" w:eastAsia="仿宋_GB2312"/>
          <w:color w:val="auto"/>
          <w:sz w:val="32"/>
          <w:szCs w:val="32"/>
        </w:rPr>
        <w:t>%；</w:t>
      </w:r>
      <w:r>
        <w:rPr>
          <w:rFonts w:hint="eastAsia" w:ascii="仿宋_GB2312" w:hAnsi="ˎ̥" w:eastAsia="仿宋_GB2312"/>
          <w:b/>
          <w:color w:val="auto"/>
          <w:sz w:val="32"/>
          <w:szCs w:val="32"/>
        </w:rPr>
        <w:t>社会保障和就业（类）</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667.99</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7.7</w:t>
      </w:r>
      <w:r>
        <w:rPr>
          <w:rFonts w:hint="eastAsia" w:ascii="仿宋_GB2312" w:hAnsi="ˎ̥" w:eastAsia="仿宋_GB2312"/>
          <w:color w:val="auto"/>
          <w:sz w:val="32"/>
          <w:szCs w:val="32"/>
        </w:rPr>
        <w:t>%；</w:t>
      </w:r>
      <w:r>
        <w:rPr>
          <w:rFonts w:hint="eastAsia" w:ascii="仿宋_GB2312" w:hAnsi="ˎ̥" w:eastAsia="仿宋_GB2312"/>
          <w:b/>
          <w:bCs/>
          <w:color w:val="auto"/>
          <w:sz w:val="32"/>
          <w:szCs w:val="32"/>
        </w:rPr>
        <w:t>卫生健康支出（类）</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392.82</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4.5</w:t>
      </w:r>
      <w:r>
        <w:rPr>
          <w:rFonts w:hint="eastAsia" w:ascii="仿宋_GB2312" w:hAnsi="ˎ̥" w:eastAsia="仿宋_GB2312"/>
          <w:color w:val="auto"/>
          <w:sz w:val="32"/>
          <w:szCs w:val="32"/>
        </w:rPr>
        <w:t>%；</w:t>
      </w:r>
      <w:r>
        <w:rPr>
          <w:rFonts w:hint="eastAsia" w:ascii="仿宋_GB2312" w:hAnsi="ˎ̥" w:eastAsia="仿宋_GB2312"/>
          <w:b/>
          <w:bCs/>
          <w:color w:val="auto"/>
          <w:sz w:val="32"/>
          <w:szCs w:val="32"/>
        </w:rPr>
        <w:t>住房保障支出</w:t>
      </w:r>
      <w:r>
        <w:rPr>
          <w:rFonts w:hint="eastAsia" w:ascii="仿宋_GB2312" w:hAnsi="ˎ̥" w:eastAsia="仿宋_GB2312"/>
          <w:b/>
          <w:color w:val="auto"/>
          <w:sz w:val="32"/>
          <w:szCs w:val="32"/>
        </w:rPr>
        <w:t>（类）</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330.87</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3.8</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89" w:name="_Toc29364_WPSOffice_Level2"/>
      <w:bookmarkStart w:id="90" w:name="_Toc9502_WPSOffice_Level2"/>
      <w:bookmarkStart w:id="91" w:name="_Toc25136_WPSOffice_Level2"/>
      <w:bookmarkStart w:id="92" w:name="_Toc22318_WPSOffice_Level2"/>
      <w:bookmarkStart w:id="93" w:name="_Toc15415_WPSOffice_Level2"/>
      <w:bookmarkStart w:id="94" w:name="_Toc21701_WPSOffice_Level2"/>
      <w:r>
        <w:rPr>
          <w:rFonts w:hint="eastAsia" w:ascii="楷体" w:hAnsi="楷体" w:eastAsia="楷体" w:cs="楷体"/>
          <w:color w:val="auto"/>
          <w:sz w:val="32"/>
          <w:szCs w:val="32"/>
        </w:rPr>
        <w:t>（三）一般公共预算财政拨款支出决算具体情况</w:t>
      </w:r>
      <w:bookmarkEnd w:id="89"/>
      <w:bookmarkEnd w:id="90"/>
      <w:bookmarkEnd w:id="91"/>
      <w:bookmarkEnd w:id="92"/>
      <w:bookmarkEnd w:id="93"/>
      <w:bookmarkEnd w:id="94"/>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年度一般公共预算财政拨款支出年初预算为</w:t>
      </w:r>
      <w:r>
        <w:rPr>
          <w:rFonts w:hint="default" w:ascii="仿宋_GB2312" w:hAnsi="ˎ̥" w:eastAsia="仿宋_GB2312"/>
          <w:color w:val="auto"/>
          <w:sz w:val="32"/>
          <w:szCs w:val="32"/>
          <w:lang w:val="en-US"/>
        </w:rPr>
        <w:t>8,</w:t>
      </w:r>
      <w:r>
        <w:rPr>
          <w:rFonts w:hint="eastAsia" w:ascii="仿宋_GB2312" w:hAnsi="ˎ̥" w:eastAsia="仿宋_GB2312"/>
          <w:color w:val="auto"/>
          <w:sz w:val="32"/>
          <w:szCs w:val="32"/>
          <w:lang w:val="en-US" w:eastAsia="zh-CN"/>
        </w:rPr>
        <w:t>339.89</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8,712.23</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104.4</w:t>
      </w:r>
      <w:r>
        <w:rPr>
          <w:rFonts w:hint="eastAsia" w:ascii="仿宋_GB2312" w:hAnsi="ˎ̥" w:eastAsia="仿宋_GB2312"/>
          <w:color w:val="auto"/>
          <w:sz w:val="32"/>
          <w:szCs w:val="32"/>
        </w:rPr>
        <w:t>%。其中：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auto"/>
          <w:sz w:val="32"/>
          <w:szCs w:val="32"/>
        </w:rPr>
      </w:pPr>
      <w:r>
        <w:rPr>
          <w:rFonts w:hint="eastAsia" w:ascii="仿宋_GB2312" w:hAnsi="ˎ̥" w:eastAsia="仿宋_GB2312"/>
          <w:color w:val="auto"/>
          <w:sz w:val="32"/>
          <w:szCs w:val="32"/>
        </w:rPr>
        <w:t>1.</w:t>
      </w:r>
      <w:r>
        <w:rPr>
          <w:rFonts w:hint="eastAsia" w:ascii="仿宋_GB2312" w:hAnsi="ˎ̥" w:eastAsia="仿宋_GB2312"/>
          <w:b/>
          <w:color w:val="auto"/>
          <w:sz w:val="32"/>
          <w:szCs w:val="32"/>
        </w:rPr>
        <w:t>公共安全支出（类）</w:t>
      </w:r>
      <w:r>
        <w:rPr>
          <w:rFonts w:hint="eastAsia" w:ascii="仿宋_GB2312" w:hAnsi="ˎ̥" w:eastAsia="仿宋_GB2312"/>
          <w:b/>
          <w:color w:val="auto"/>
          <w:sz w:val="32"/>
          <w:szCs w:val="32"/>
          <w:lang w:val="en-US" w:eastAsia="zh-CN"/>
        </w:rPr>
        <w:t>法院</w:t>
      </w:r>
      <w:r>
        <w:rPr>
          <w:rFonts w:hint="eastAsia" w:ascii="仿宋_GB2312" w:hAnsi="ˎ̥" w:eastAsia="仿宋_GB2312"/>
          <w:b/>
          <w:color w:val="auto"/>
          <w:sz w:val="32"/>
          <w:szCs w:val="32"/>
        </w:rPr>
        <w:t>（款）行政运行（项）。</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4908.83</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4847.03</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98.7</w:t>
      </w:r>
      <w:r>
        <w:rPr>
          <w:rFonts w:hint="eastAsia" w:ascii="仿宋_GB2312" w:hAnsi="ˎ̥" w:eastAsia="仿宋_GB2312"/>
          <w:color w:val="auto"/>
          <w:sz w:val="32"/>
          <w:szCs w:val="32"/>
        </w:rPr>
        <w:t>%。决算数小于预算数的主要原因：</w:t>
      </w:r>
      <w:r>
        <w:rPr>
          <w:rFonts w:hint="eastAsia" w:ascii="仿宋_GB2312" w:hAnsi="ˎ̥" w:eastAsia="仿宋_GB2312"/>
          <w:color w:val="auto"/>
          <w:sz w:val="32"/>
          <w:szCs w:val="32"/>
          <w:lang w:eastAsia="zh-CN"/>
        </w:rPr>
        <w:t>工资经费有所结余</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320" w:firstLineChars="100"/>
        <w:textAlignment w:val="auto"/>
        <w:rPr>
          <w:rFonts w:hint="eastAsia" w:ascii="仿宋_GB2312" w:hAnsi="ˎ̥" w:eastAsia="仿宋_GB2312"/>
          <w:b/>
          <w:color w:val="auto"/>
          <w:sz w:val="32"/>
          <w:szCs w:val="32"/>
        </w:rPr>
      </w:pPr>
      <w:r>
        <w:rPr>
          <w:rFonts w:hint="eastAsia" w:ascii="仿宋_GB2312" w:hAnsi="ˎ̥" w:eastAsia="仿宋_GB2312"/>
          <w:color w:val="auto"/>
          <w:sz w:val="32"/>
          <w:szCs w:val="32"/>
        </w:rPr>
        <w:t xml:space="preserve"> </w:t>
      </w:r>
      <w:r>
        <w:rPr>
          <w:rFonts w:hint="eastAsia" w:ascii="仿宋_GB2312" w:hAnsi="ˎ̥" w:eastAsia="仿宋_GB2312"/>
          <w:color w:val="auto"/>
          <w:sz w:val="32"/>
          <w:szCs w:val="32"/>
          <w:lang w:val="en-US" w:eastAsia="zh-CN"/>
        </w:rPr>
        <w:t>2</w:t>
      </w:r>
      <w:r>
        <w:rPr>
          <w:rFonts w:hint="eastAsia" w:ascii="仿宋_GB2312" w:hAnsi="ˎ̥" w:eastAsia="仿宋_GB2312"/>
          <w:color w:val="auto"/>
          <w:sz w:val="32"/>
          <w:szCs w:val="32"/>
        </w:rPr>
        <w:t>.</w:t>
      </w:r>
      <w:r>
        <w:rPr>
          <w:rFonts w:hint="eastAsia" w:ascii="仿宋_GB2312" w:hAnsi="ˎ̥" w:eastAsia="仿宋_GB2312"/>
          <w:b/>
          <w:color w:val="auto"/>
          <w:sz w:val="32"/>
          <w:szCs w:val="32"/>
        </w:rPr>
        <w:t>公共安全支出（类）</w:t>
      </w:r>
      <w:r>
        <w:rPr>
          <w:rFonts w:hint="eastAsia" w:ascii="仿宋_GB2312" w:hAnsi="ˎ̥" w:eastAsia="仿宋_GB2312"/>
          <w:b/>
          <w:color w:val="auto"/>
          <w:sz w:val="32"/>
          <w:szCs w:val="32"/>
          <w:lang w:val="en-US" w:eastAsia="zh-CN"/>
        </w:rPr>
        <w:t>法院</w:t>
      </w:r>
      <w:r>
        <w:rPr>
          <w:rFonts w:hint="eastAsia" w:ascii="仿宋_GB2312" w:hAnsi="ˎ̥" w:eastAsia="仿宋_GB2312"/>
          <w:b/>
          <w:color w:val="auto"/>
          <w:sz w:val="32"/>
          <w:szCs w:val="32"/>
        </w:rPr>
        <w:t>（款）一般行政管理事务（项）。</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369.72</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367.41</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99.3</w:t>
      </w:r>
      <w:r>
        <w:rPr>
          <w:rFonts w:hint="eastAsia" w:ascii="仿宋_GB2312" w:hAnsi="ˎ̥" w:eastAsia="仿宋_GB2312"/>
          <w:color w:val="auto"/>
          <w:sz w:val="32"/>
          <w:szCs w:val="32"/>
        </w:rPr>
        <w:t>%。决算数小于预算数的主要原因：</w:t>
      </w:r>
      <w:r>
        <w:rPr>
          <w:rFonts w:hint="eastAsia" w:ascii="仿宋_GB2312" w:hAnsi="ˎ̥" w:eastAsia="仿宋_GB2312"/>
          <w:color w:val="auto"/>
          <w:sz w:val="32"/>
          <w:szCs w:val="32"/>
          <w:lang w:eastAsia="zh-CN"/>
        </w:rPr>
        <w:t>剩余</w:t>
      </w:r>
      <w:r>
        <w:rPr>
          <w:rFonts w:hint="eastAsia" w:ascii="仿宋_GB2312" w:hAnsi="ˎ̥" w:eastAsia="仿宋_GB2312"/>
          <w:color w:val="auto"/>
          <w:sz w:val="32"/>
          <w:szCs w:val="32"/>
          <w:lang w:val="en-US" w:eastAsia="zh-CN"/>
        </w:rPr>
        <w:t>2.31万元，属于</w:t>
      </w:r>
      <w:r>
        <w:rPr>
          <w:rFonts w:hint="eastAsia" w:ascii="仿宋_GB2312" w:hAnsi="ˎ̥" w:eastAsia="仿宋_GB2312"/>
          <w:color w:val="auto"/>
          <w:sz w:val="32"/>
          <w:szCs w:val="32"/>
          <w:lang w:eastAsia="zh-CN"/>
        </w:rPr>
        <w:t>资金使用正常剩余</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auto"/>
          <w:sz w:val="32"/>
          <w:szCs w:val="32"/>
        </w:rPr>
      </w:pPr>
      <w:r>
        <w:rPr>
          <w:rFonts w:hint="eastAsia" w:ascii="仿宋_GB2312" w:hAnsi="ˎ̥" w:eastAsia="仿宋_GB2312"/>
          <w:color w:val="auto"/>
          <w:sz w:val="32"/>
          <w:szCs w:val="32"/>
          <w:lang w:val="en-US" w:eastAsia="zh-CN"/>
        </w:rPr>
        <w:t>3</w:t>
      </w:r>
      <w:r>
        <w:rPr>
          <w:rFonts w:hint="eastAsia" w:ascii="仿宋_GB2312" w:hAnsi="ˎ̥" w:eastAsia="仿宋_GB2312"/>
          <w:color w:val="auto"/>
          <w:sz w:val="32"/>
          <w:szCs w:val="32"/>
        </w:rPr>
        <w:t>.</w:t>
      </w:r>
      <w:r>
        <w:rPr>
          <w:rFonts w:hint="eastAsia" w:ascii="仿宋_GB2312" w:hAnsi="ˎ̥" w:eastAsia="仿宋_GB2312"/>
          <w:b/>
          <w:color w:val="auto"/>
          <w:sz w:val="32"/>
          <w:szCs w:val="32"/>
        </w:rPr>
        <w:t>公共安全支出（类）</w:t>
      </w:r>
      <w:r>
        <w:rPr>
          <w:rFonts w:hint="eastAsia" w:ascii="仿宋_GB2312" w:hAnsi="ˎ̥" w:eastAsia="仿宋_GB2312"/>
          <w:b/>
          <w:color w:val="auto"/>
          <w:sz w:val="32"/>
          <w:szCs w:val="32"/>
          <w:lang w:val="en-US" w:eastAsia="zh-CN"/>
        </w:rPr>
        <w:t>法院</w:t>
      </w:r>
      <w:r>
        <w:rPr>
          <w:rFonts w:hint="eastAsia" w:ascii="仿宋_GB2312" w:hAnsi="ˎ̥" w:eastAsia="仿宋_GB2312"/>
          <w:b/>
          <w:color w:val="auto"/>
          <w:sz w:val="32"/>
          <w:szCs w:val="32"/>
        </w:rPr>
        <w:t>（款）</w:t>
      </w:r>
      <w:r>
        <w:rPr>
          <w:rFonts w:hint="eastAsia" w:ascii="仿宋_GB2312" w:hAnsi="ˎ̥" w:eastAsia="仿宋_GB2312"/>
          <w:b/>
          <w:color w:val="auto"/>
          <w:sz w:val="32"/>
          <w:szCs w:val="32"/>
          <w:lang w:val="en-US" w:eastAsia="zh-CN"/>
        </w:rPr>
        <w:t>案件审判</w:t>
      </w:r>
      <w:r>
        <w:rPr>
          <w:rFonts w:hint="eastAsia" w:ascii="仿宋_GB2312" w:hAnsi="ˎ̥" w:eastAsia="仿宋_GB2312"/>
          <w:b/>
          <w:color w:val="auto"/>
          <w:sz w:val="32"/>
          <w:szCs w:val="32"/>
        </w:rPr>
        <w:t>（项）。</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1056.09</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1360.03</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128.7</w:t>
      </w:r>
      <w:r>
        <w:rPr>
          <w:rFonts w:hint="eastAsia" w:ascii="仿宋_GB2312" w:hAnsi="ˎ̥" w:eastAsia="仿宋_GB2312"/>
          <w:color w:val="auto"/>
          <w:sz w:val="32"/>
          <w:szCs w:val="32"/>
        </w:rPr>
        <w:t>%。决算数大于预算数的主要原因：</w:t>
      </w:r>
      <w:r>
        <w:rPr>
          <w:rFonts w:hint="eastAsia" w:ascii="仿宋_GB2312" w:hAnsi="ˎ̥" w:eastAsia="仿宋_GB2312"/>
          <w:color w:val="auto"/>
          <w:sz w:val="32"/>
          <w:szCs w:val="32"/>
          <w:lang w:eastAsia="zh-CN"/>
        </w:rPr>
        <w:t>由于办案业务需要，年中增加下达办案经费。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auto"/>
          <w:sz w:val="32"/>
          <w:szCs w:val="32"/>
        </w:rPr>
      </w:pPr>
      <w:r>
        <w:rPr>
          <w:rFonts w:hint="eastAsia" w:ascii="仿宋_GB2312" w:hAnsi="ˎ̥" w:eastAsia="仿宋_GB2312"/>
          <w:color w:val="auto"/>
          <w:sz w:val="32"/>
          <w:szCs w:val="32"/>
          <w:lang w:val="en-US" w:eastAsia="zh-CN"/>
        </w:rPr>
        <w:t>4</w:t>
      </w:r>
      <w:r>
        <w:rPr>
          <w:rFonts w:hint="eastAsia" w:ascii="仿宋_GB2312" w:hAnsi="ˎ̥" w:eastAsia="仿宋_GB2312"/>
          <w:color w:val="auto"/>
          <w:sz w:val="32"/>
          <w:szCs w:val="32"/>
        </w:rPr>
        <w:t>.</w:t>
      </w:r>
      <w:r>
        <w:rPr>
          <w:rFonts w:hint="eastAsia" w:ascii="仿宋_GB2312" w:hAnsi="ˎ̥" w:eastAsia="仿宋_GB2312"/>
          <w:b/>
          <w:color w:val="auto"/>
          <w:sz w:val="32"/>
          <w:szCs w:val="32"/>
        </w:rPr>
        <w:t>公共安全支出（类）</w:t>
      </w:r>
      <w:r>
        <w:rPr>
          <w:rFonts w:hint="eastAsia" w:ascii="仿宋_GB2312" w:hAnsi="ˎ̥" w:eastAsia="仿宋_GB2312"/>
          <w:b/>
          <w:color w:val="auto"/>
          <w:sz w:val="32"/>
          <w:szCs w:val="32"/>
          <w:lang w:val="en-US" w:eastAsia="zh-CN"/>
        </w:rPr>
        <w:t>法院</w:t>
      </w:r>
      <w:r>
        <w:rPr>
          <w:rFonts w:hint="eastAsia" w:ascii="仿宋_GB2312" w:hAnsi="ˎ̥" w:eastAsia="仿宋_GB2312"/>
          <w:b/>
          <w:color w:val="auto"/>
          <w:sz w:val="32"/>
          <w:szCs w:val="32"/>
        </w:rPr>
        <w:t>（款）</w:t>
      </w:r>
      <w:r>
        <w:rPr>
          <w:rFonts w:hint="eastAsia" w:ascii="仿宋_GB2312" w:hAnsi="ˎ̥" w:eastAsia="仿宋_GB2312"/>
          <w:b/>
          <w:color w:val="auto"/>
          <w:sz w:val="32"/>
          <w:szCs w:val="32"/>
          <w:lang w:val="en-US" w:eastAsia="zh-CN"/>
        </w:rPr>
        <w:t>其他法院支出</w:t>
      </w:r>
      <w:r>
        <w:rPr>
          <w:rFonts w:hint="eastAsia" w:ascii="仿宋_GB2312" w:hAnsi="ˎ̥" w:eastAsia="仿宋_GB2312"/>
          <w:b/>
          <w:color w:val="auto"/>
          <w:sz w:val="32"/>
          <w:szCs w:val="32"/>
        </w:rPr>
        <w:t>（项）。</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1073.67</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746.07</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69.4</w:t>
      </w:r>
      <w:r>
        <w:rPr>
          <w:rFonts w:hint="eastAsia" w:ascii="仿宋_GB2312" w:hAnsi="ˎ̥" w:eastAsia="仿宋_GB2312"/>
          <w:color w:val="auto"/>
          <w:sz w:val="32"/>
          <w:szCs w:val="32"/>
        </w:rPr>
        <w:t>%。决算数小于预算数的主要原因：</w:t>
      </w:r>
      <w:r>
        <w:rPr>
          <w:rFonts w:hint="eastAsia" w:ascii="仿宋_GB2312" w:hAnsi="ˎ̥" w:eastAsia="仿宋_GB2312"/>
          <w:color w:val="auto"/>
          <w:sz w:val="32"/>
          <w:szCs w:val="32"/>
          <w:lang w:eastAsia="zh-CN"/>
        </w:rPr>
        <w:t>主要为聘用制法官助理费用结转以及由于</w:t>
      </w:r>
      <w:r>
        <w:rPr>
          <w:rFonts w:hint="eastAsia" w:ascii="仿宋_GB2312" w:hAnsi="ˎ̥" w:eastAsia="仿宋_GB2312"/>
          <w:color w:val="auto"/>
          <w:sz w:val="32"/>
          <w:szCs w:val="32"/>
          <w:lang w:val="en-US" w:eastAsia="zh-CN"/>
        </w:rPr>
        <w:t>当年度无法完成支付流程结转至下一年支出的办案装备费。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auto"/>
          <w:sz w:val="32"/>
          <w:szCs w:val="32"/>
        </w:rPr>
      </w:pPr>
      <w:r>
        <w:rPr>
          <w:rFonts w:hint="eastAsia" w:ascii="仿宋_GB2312" w:hAnsi="ˎ̥" w:eastAsia="仿宋_GB2312"/>
          <w:color w:val="auto"/>
          <w:sz w:val="32"/>
          <w:szCs w:val="32"/>
          <w:lang w:val="en-US" w:eastAsia="zh-CN"/>
        </w:rPr>
        <w:t>5</w:t>
      </w:r>
      <w:r>
        <w:rPr>
          <w:rFonts w:hint="eastAsia" w:ascii="仿宋_GB2312" w:hAnsi="ˎ̥" w:eastAsia="仿宋_GB2312"/>
          <w:color w:val="auto"/>
          <w:sz w:val="32"/>
          <w:szCs w:val="32"/>
        </w:rPr>
        <w:t>.</w:t>
      </w:r>
      <w:r>
        <w:rPr>
          <w:rFonts w:hint="eastAsia" w:ascii="仿宋_GB2312" w:hAnsi="ˎ̥" w:eastAsia="仿宋_GB2312"/>
          <w:b/>
          <w:color w:val="auto"/>
          <w:sz w:val="32"/>
          <w:szCs w:val="32"/>
          <w:lang w:val="en-US" w:eastAsia="zh-CN"/>
        </w:rPr>
        <w:t>社会保障和就业支出</w:t>
      </w:r>
      <w:r>
        <w:rPr>
          <w:rFonts w:hint="eastAsia" w:ascii="仿宋_GB2312" w:hAnsi="ˎ̥" w:eastAsia="仿宋_GB2312"/>
          <w:b/>
          <w:color w:val="auto"/>
          <w:sz w:val="32"/>
          <w:szCs w:val="32"/>
        </w:rPr>
        <w:t>（类）行政事业单位养老支出（款）</w:t>
      </w:r>
      <w:r>
        <w:rPr>
          <w:rFonts w:hint="eastAsia" w:ascii="仿宋_GB2312" w:hAnsi="ˎ̥" w:eastAsia="仿宋_GB2312"/>
          <w:b/>
          <w:color w:val="auto"/>
          <w:sz w:val="32"/>
          <w:szCs w:val="32"/>
          <w:lang w:val="en-US" w:eastAsia="zh-CN"/>
        </w:rPr>
        <w:t>机关事业单位基本养老保险缴费支出</w:t>
      </w:r>
      <w:r>
        <w:rPr>
          <w:rFonts w:hint="eastAsia" w:ascii="仿宋_GB2312" w:hAnsi="ˎ̥" w:eastAsia="仿宋_GB2312"/>
          <w:b/>
          <w:color w:val="auto"/>
          <w:sz w:val="32"/>
          <w:szCs w:val="32"/>
        </w:rPr>
        <w:t>（项）。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309.83</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294.37</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95</w:t>
      </w:r>
      <w:r>
        <w:rPr>
          <w:rFonts w:hint="eastAsia" w:ascii="仿宋_GB2312" w:hAnsi="ˎ̥" w:eastAsia="仿宋_GB2312"/>
          <w:color w:val="auto"/>
          <w:sz w:val="32"/>
          <w:szCs w:val="32"/>
        </w:rPr>
        <w:t>%。决算数小于预算数的主要原因：</w:t>
      </w:r>
      <w:r>
        <w:rPr>
          <w:rFonts w:hint="eastAsia" w:ascii="仿宋_GB2312" w:hAnsi="ˎ̥" w:eastAsia="仿宋_GB2312"/>
          <w:color w:val="auto"/>
          <w:sz w:val="32"/>
          <w:szCs w:val="32"/>
          <w:lang w:eastAsia="zh-CN"/>
        </w:rPr>
        <w:t>由于预算取数参考以前年度工资数据测算，无法精准预测，属于正常预算误差</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auto"/>
          <w:sz w:val="32"/>
          <w:szCs w:val="32"/>
        </w:rPr>
      </w:pPr>
      <w:r>
        <w:rPr>
          <w:rFonts w:hint="eastAsia" w:ascii="仿宋_GB2312" w:hAnsi="ˎ̥" w:eastAsia="仿宋_GB2312"/>
          <w:color w:val="auto"/>
          <w:sz w:val="32"/>
          <w:szCs w:val="32"/>
          <w:lang w:val="en-US" w:eastAsia="zh-CN"/>
        </w:rPr>
        <w:t>6</w:t>
      </w:r>
      <w:r>
        <w:rPr>
          <w:rFonts w:hint="eastAsia" w:ascii="仿宋_GB2312" w:hAnsi="ˎ̥" w:eastAsia="仿宋_GB2312"/>
          <w:color w:val="auto"/>
          <w:sz w:val="32"/>
          <w:szCs w:val="32"/>
        </w:rPr>
        <w:t>.</w:t>
      </w:r>
      <w:r>
        <w:rPr>
          <w:rFonts w:hint="eastAsia" w:ascii="仿宋_GB2312" w:hAnsi="ˎ̥" w:eastAsia="仿宋_GB2312"/>
          <w:b/>
          <w:color w:val="auto"/>
          <w:sz w:val="32"/>
          <w:szCs w:val="32"/>
          <w:lang w:val="en-US" w:eastAsia="zh-CN"/>
        </w:rPr>
        <w:t>社会保障和就业支出</w:t>
      </w:r>
      <w:r>
        <w:rPr>
          <w:rFonts w:hint="eastAsia" w:ascii="仿宋_GB2312" w:hAnsi="ˎ̥" w:eastAsia="仿宋_GB2312"/>
          <w:b/>
          <w:color w:val="auto"/>
          <w:sz w:val="32"/>
          <w:szCs w:val="32"/>
        </w:rPr>
        <w:t>（类）行政事业单位养老支出</w:t>
      </w:r>
      <w:r>
        <w:rPr>
          <w:rFonts w:hint="eastAsia" w:ascii="仿宋_GB2312" w:hAnsi="ˎ̥" w:eastAsia="仿宋_GB2312"/>
          <w:b/>
          <w:color w:val="auto"/>
          <w:sz w:val="32"/>
          <w:szCs w:val="32"/>
          <w:lang w:val="en-US" w:eastAsia="zh-CN"/>
        </w:rPr>
        <w:t>其他法院支出</w:t>
      </w:r>
      <w:r>
        <w:rPr>
          <w:rFonts w:hint="eastAsia" w:ascii="仿宋_GB2312" w:hAnsi="ˎ̥" w:eastAsia="仿宋_GB2312"/>
          <w:b/>
          <w:color w:val="auto"/>
          <w:sz w:val="32"/>
          <w:szCs w:val="32"/>
        </w:rPr>
        <w:t>（款）</w:t>
      </w:r>
      <w:r>
        <w:rPr>
          <w:rFonts w:hint="eastAsia" w:ascii="仿宋_GB2312" w:hAnsi="ˎ̥" w:eastAsia="仿宋_GB2312"/>
          <w:b/>
          <w:color w:val="auto"/>
          <w:sz w:val="32"/>
          <w:szCs w:val="32"/>
          <w:lang w:val="en-US" w:eastAsia="zh-CN"/>
        </w:rPr>
        <w:t>机关事业单位职业年金缴费支出</w:t>
      </w:r>
      <w:r>
        <w:rPr>
          <w:rFonts w:hint="eastAsia" w:ascii="仿宋_GB2312" w:hAnsi="ˎ̥" w:eastAsia="仿宋_GB2312"/>
          <w:b/>
          <w:color w:val="auto"/>
          <w:sz w:val="32"/>
          <w:szCs w:val="32"/>
        </w:rPr>
        <w:t>（项）。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370.34</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370.34</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%。决算数</w:t>
      </w:r>
      <w:r>
        <w:rPr>
          <w:rFonts w:hint="eastAsia" w:ascii="仿宋_GB2312" w:hAnsi="ˎ̥" w:eastAsia="仿宋_GB2312"/>
          <w:color w:val="auto"/>
          <w:sz w:val="32"/>
          <w:szCs w:val="32"/>
          <w:lang w:eastAsia="zh-CN"/>
        </w:rPr>
        <w:t>等于</w:t>
      </w:r>
      <w:r>
        <w:rPr>
          <w:rFonts w:hint="eastAsia" w:ascii="仿宋_GB2312" w:hAnsi="ˎ̥" w:eastAsia="仿宋_GB2312"/>
          <w:color w:val="auto"/>
          <w:sz w:val="32"/>
          <w:szCs w:val="32"/>
        </w:rPr>
        <w:t>预算数。</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b/>
          <w:color w:val="auto"/>
          <w:sz w:val="32"/>
          <w:szCs w:val="32"/>
        </w:rPr>
      </w:pPr>
      <w:r>
        <w:rPr>
          <w:rFonts w:hint="eastAsia" w:ascii="仿宋_GB2312" w:hAnsi="ˎ̥" w:eastAsia="仿宋_GB2312"/>
          <w:b/>
          <w:color w:val="auto"/>
          <w:sz w:val="32"/>
          <w:szCs w:val="32"/>
          <w:lang w:val="en-US" w:eastAsia="zh-CN"/>
        </w:rPr>
        <w:t>7.社会保障和就业支出</w:t>
      </w:r>
      <w:r>
        <w:rPr>
          <w:rFonts w:hint="eastAsia" w:ascii="仿宋_GB2312" w:hAnsi="ˎ̥" w:eastAsia="仿宋_GB2312"/>
          <w:b/>
          <w:color w:val="auto"/>
          <w:sz w:val="32"/>
          <w:szCs w:val="32"/>
        </w:rPr>
        <w:t>（类）</w:t>
      </w:r>
      <w:r>
        <w:rPr>
          <w:rFonts w:hint="eastAsia" w:ascii="仿宋_GB2312" w:hAnsi="ˎ̥" w:eastAsia="仿宋_GB2312"/>
          <w:b/>
          <w:color w:val="auto"/>
          <w:sz w:val="32"/>
          <w:szCs w:val="32"/>
          <w:lang w:val="en-US" w:eastAsia="zh-CN"/>
        </w:rPr>
        <w:t>抚恤</w:t>
      </w:r>
      <w:r>
        <w:rPr>
          <w:rFonts w:hint="eastAsia" w:ascii="仿宋_GB2312" w:hAnsi="ˎ̥" w:eastAsia="仿宋_GB2312"/>
          <w:b/>
          <w:color w:val="auto"/>
          <w:sz w:val="32"/>
          <w:szCs w:val="32"/>
        </w:rPr>
        <w:t>（款）</w:t>
      </w:r>
      <w:r>
        <w:rPr>
          <w:rFonts w:hint="eastAsia" w:ascii="仿宋_GB2312" w:hAnsi="ˎ̥" w:eastAsia="仿宋_GB2312"/>
          <w:b/>
          <w:color w:val="auto"/>
          <w:sz w:val="32"/>
          <w:szCs w:val="32"/>
          <w:lang w:val="en-US" w:eastAsia="zh-CN"/>
        </w:rPr>
        <w:t>其他优抚支出</w:t>
      </w:r>
      <w:r>
        <w:rPr>
          <w:rFonts w:hint="eastAsia" w:ascii="仿宋_GB2312" w:hAnsi="ˎ̥" w:eastAsia="仿宋_GB2312"/>
          <w:b/>
          <w:color w:val="auto"/>
          <w:sz w:val="32"/>
          <w:szCs w:val="32"/>
        </w:rPr>
        <w:t>（项）。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4.81</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3.27</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67.9</w:t>
      </w:r>
      <w:r>
        <w:rPr>
          <w:rFonts w:hint="eastAsia" w:ascii="仿宋_GB2312" w:hAnsi="ˎ̥" w:eastAsia="仿宋_GB2312"/>
          <w:color w:val="auto"/>
          <w:sz w:val="32"/>
          <w:szCs w:val="32"/>
        </w:rPr>
        <w:t>%。决算数小于预算数的主要原因：</w:t>
      </w:r>
      <w:r>
        <w:rPr>
          <w:rFonts w:hint="eastAsia" w:ascii="仿宋_GB2312" w:hAnsi="ˎ̥" w:eastAsia="仿宋_GB2312"/>
          <w:color w:val="auto"/>
          <w:sz w:val="32"/>
          <w:szCs w:val="32"/>
          <w:lang w:val="en-US" w:eastAsia="zh-CN"/>
        </w:rPr>
        <w:t>系统取数偏差，导致预算数取数较多</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auto"/>
          <w:sz w:val="32"/>
          <w:szCs w:val="32"/>
        </w:rPr>
      </w:pPr>
      <w:r>
        <w:rPr>
          <w:rFonts w:hint="eastAsia" w:ascii="仿宋_GB2312" w:hAnsi="ˎ̥" w:eastAsia="仿宋_GB2312"/>
          <w:color w:val="auto"/>
          <w:sz w:val="32"/>
          <w:szCs w:val="32"/>
          <w:lang w:val="en-US" w:eastAsia="zh-CN"/>
        </w:rPr>
        <w:t>8</w:t>
      </w:r>
      <w:r>
        <w:rPr>
          <w:rFonts w:hint="eastAsia" w:ascii="仿宋_GB2312" w:hAnsi="ˎ̥" w:eastAsia="仿宋_GB2312"/>
          <w:color w:val="auto"/>
          <w:sz w:val="32"/>
          <w:szCs w:val="32"/>
        </w:rPr>
        <w:t>.</w:t>
      </w:r>
      <w:r>
        <w:rPr>
          <w:rFonts w:hint="eastAsia" w:ascii="仿宋_GB2312" w:hAnsi="ˎ̥" w:eastAsia="仿宋_GB2312"/>
          <w:b/>
          <w:color w:val="auto"/>
          <w:sz w:val="32"/>
          <w:szCs w:val="32"/>
          <w:lang w:val="en-US" w:eastAsia="zh-CN"/>
        </w:rPr>
        <w:t>卫生健康支出</w:t>
      </w:r>
      <w:r>
        <w:rPr>
          <w:rFonts w:hint="eastAsia" w:ascii="仿宋_GB2312" w:hAnsi="ˎ̥" w:eastAsia="仿宋_GB2312"/>
          <w:b/>
          <w:color w:val="auto"/>
          <w:sz w:val="32"/>
          <w:szCs w:val="32"/>
        </w:rPr>
        <w:t>（类）行政事业单位医疗（款）</w:t>
      </w:r>
      <w:r>
        <w:rPr>
          <w:rFonts w:hint="eastAsia" w:ascii="仿宋_GB2312" w:hAnsi="ˎ̥" w:eastAsia="仿宋_GB2312"/>
          <w:b/>
          <w:color w:val="auto"/>
          <w:sz w:val="32"/>
          <w:szCs w:val="32"/>
          <w:lang w:val="en-US" w:eastAsia="zh-CN"/>
        </w:rPr>
        <w:t>行政单位医疗</w:t>
      </w:r>
      <w:r>
        <w:rPr>
          <w:rFonts w:hint="eastAsia" w:ascii="仿宋_GB2312" w:hAnsi="ˎ̥" w:eastAsia="仿宋_GB2312"/>
          <w:b/>
          <w:color w:val="auto"/>
          <w:sz w:val="32"/>
          <w:szCs w:val="32"/>
        </w:rPr>
        <w:t>（项）。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143.63</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123.44</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85.9</w:t>
      </w:r>
      <w:r>
        <w:rPr>
          <w:rFonts w:hint="eastAsia" w:ascii="仿宋_GB2312" w:hAnsi="ˎ̥" w:eastAsia="仿宋_GB2312"/>
          <w:color w:val="auto"/>
          <w:sz w:val="32"/>
          <w:szCs w:val="32"/>
        </w:rPr>
        <w:t>%。决算数小于预算数的主要原因：</w:t>
      </w:r>
      <w:r>
        <w:rPr>
          <w:rFonts w:hint="eastAsia" w:ascii="仿宋_GB2312" w:hAnsi="ˎ̥" w:eastAsia="仿宋_GB2312"/>
          <w:color w:val="auto"/>
          <w:sz w:val="32"/>
          <w:szCs w:val="32"/>
          <w:lang w:eastAsia="zh-CN"/>
        </w:rPr>
        <w:t>由于</w:t>
      </w:r>
      <w:r>
        <w:rPr>
          <w:rFonts w:hint="eastAsia" w:ascii="仿宋_GB2312" w:hAnsi="ˎ̥" w:eastAsia="仿宋_GB2312"/>
          <w:color w:val="auto"/>
          <w:sz w:val="32"/>
          <w:szCs w:val="32"/>
          <w:lang w:val="en-US" w:eastAsia="zh-CN"/>
        </w:rPr>
        <w:t>2024年医疗保险缴费比例降低，故有所结余</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auto"/>
          <w:sz w:val="32"/>
          <w:szCs w:val="32"/>
        </w:rPr>
      </w:pPr>
      <w:r>
        <w:rPr>
          <w:rFonts w:hint="eastAsia" w:ascii="仿宋_GB2312" w:hAnsi="ˎ̥" w:eastAsia="仿宋_GB2312"/>
          <w:color w:val="auto"/>
          <w:sz w:val="32"/>
          <w:szCs w:val="32"/>
          <w:lang w:val="en-US" w:eastAsia="zh-CN"/>
        </w:rPr>
        <w:t>9</w:t>
      </w:r>
      <w:r>
        <w:rPr>
          <w:rFonts w:hint="eastAsia" w:ascii="仿宋_GB2312" w:hAnsi="ˎ̥" w:eastAsia="仿宋_GB2312"/>
          <w:color w:val="auto"/>
          <w:sz w:val="32"/>
          <w:szCs w:val="32"/>
        </w:rPr>
        <w:t>.</w:t>
      </w:r>
      <w:r>
        <w:rPr>
          <w:rFonts w:hint="eastAsia" w:ascii="仿宋_GB2312" w:hAnsi="ˎ̥" w:eastAsia="仿宋_GB2312"/>
          <w:b/>
          <w:color w:val="auto"/>
          <w:sz w:val="32"/>
          <w:szCs w:val="32"/>
          <w:lang w:val="en-US" w:eastAsia="zh-CN"/>
        </w:rPr>
        <w:t>卫生健康支出</w:t>
      </w:r>
      <w:r>
        <w:rPr>
          <w:rFonts w:hint="eastAsia" w:ascii="仿宋_GB2312" w:hAnsi="ˎ̥" w:eastAsia="仿宋_GB2312"/>
          <w:b/>
          <w:color w:val="auto"/>
          <w:sz w:val="32"/>
          <w:szCs w:val="32"/>
        </w:rPr>
        <w:t>（类）行政事业单位医疗（款）</w:t>
      </w:r>
      <w:r>
        <w:rPr>
          <w:rFonts w:hint="eastAsia" w:ascii="仿宋_GB2312" w:hAnsi="ˎ̥" w:eastAsia="仿宋_GB2312"/>
          <w:b/>
          <w:color w:val="auto"/>
          <w:sz w:val="32"/>
          <w:szCs w:val="32"/>
          <w:lang w:val="en-US" w:eastAsia="zh-CN"/>
        </w:rPr>
        <w:t>公务员医疗补助</w:t>
      </w:r>
      <w:r>
        <w:rPr>
          <w:rFonts w:hint="eastAsia" w:ascii="仿宋_GB2312" w:hAnsi="ˎ̥" w:eastAsia="仿宋_GB2312"/>
          <w:b/>
          <w:color w:val="auto"/>
          <w:sz w:val="32"/>
          <w:szCs w:val="32"/>
        </w:rPr>
        <w:t>（项）。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269.38</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269.38</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%。决算数</w:t>
      </w:r>
      <w:r>
        <w:rPr>
          <w:rFonts w:hint="eastAsia" w:ascii="仿宋_GB2312" w:hAnsi="ˎ̥" w:eastAsia="仿宋_GB2312"/>
          <w:color w:val="auto"/>
          <w:sz w:val="32"/>
          <w:szCs w:val="32"/>
          <w:lang w:eastAsia="zh-CN"/>
        </w:rPr>
        <w:t>等于</w:t>
      </w:r>
      <w:r>
        <w:rPr>
          <w:rFonts w:hint="eastAsia" w:ascii="仿宋_GB2312" w:hAnsi="ˎ̥" w:eastAsia="仿宋_GB2312"/>
          <w:color w:val="auto"/>
          <w:sz w:val="32"/>
          <w:szCs w:val="32"/>
        </w:rPr>
        <w:t>预算数。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auto"/>
          <w:sz w:val="32"/>
          <w:szCs w:val="32"/>
        </w:rPr>
      </w:pPr>
      <w:r>
        <w:rPr>
          <w:rFonts w:hint="eastAsia" w:ascii="仿宋_GB2312" w:hAnsi="ˎ̥" w:eastAsia="仿宋_GB2312"/>
          <w:color w:val="auto"/>
          <w:sz w:val="32"/>
          <w:szCs w:val="32"/>
          <w:lang w:val="en-US" w:eastAsia="zh-CN"/>
        </w:rPr>
        <w:t>10</w:t>
      </w:r>
      <w:r>
        <w:rPr>
          <w:rFonts w:hint="eastAsia" w:ascii="仿宋_GB2312" w:hAnsi="ˎ̥" w:eastAsia="仿宋_GB2312"/>
          <w:color w:val="auto"/>
          <w:sz w:val="32"/>
          <w:szCs w:val="32"/>
        </w:rPr>
        <w:t>.</w:t>
      </w:r>
      <w:r>
        <w:rPr>
          <w:rFonts w:hint="eastAsia" w:ascii="仿宋_GB2312" w:hAnsi="ˎ̥" w:eastAsia="仿宋_GB2312"/>
          <w:b/>
          <w:color w:val="auto"/>
          <w:sz w:val="32"/>
          <w:szCs w:val="32"/>
          <w:lang w:val="en-US" w:eastAsia="zh-CN"/>
        </w:rPr>
        <w:t>住房保障支出</w:t>
      </w:r>
      <w:r>
        <w:rPr>
          <w:rFonts w:hint="eastAsia" w:ascii="仿宋_GB2312" w:hAnsi="ˎ̥" w:eastAsia="仿宋_GB2312"/>
          <w:b/>
          <w:color w:val="auto"/>
          <w:sz w:val="32"/>
          <w:szCs w:val="32"/>
        </w:rPr>
        <w:t>（类）住房改革支出（款）</w:t>
      </w:r>
      <w:r>
        <w:rPr>
          <w:rFonts w:hint="eastAsia" w:ascii="仿宋_GB2312" w:hAnsi="ˎ̥" w:eastAsia="仿宋_GB2312"/>
          <w:b/>
          <w:color w:val="auto"/>
          <w:sz w:val="32"/>
          <w:szCs w:val="32"/>
          <w:lang w:val="en-US" w:eastAsia="zh-CN"/>
        </w:rPr>
        <w:t>住房公积金</w:t>
      </w:r>
      <w:r>
        <w:rPr>
          <w:rFonts w:hint="eastAsia" w:ascii="仿宋_GB2312" w:hAnsi="ˎ̥" w:eastAsia="仿宋_GB2312"/>
          <w:b/>
          <w:color w:val="auto"/>
          <w:sz w:val="32"/>
          <w:szCs w:val="32"/>
        </w:rPr>
        <w:t>（项）。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277.65</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330.87</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119.1</w:t>
      </w:r>
      <w:r>
        <w:rPr>
          <w:rFonts w:hint="eastAsia" w:ascii="仿宋_GB2312" w:hAnsi="ˎ̥" w:eastAsia="仿宋_GB2312"/>
          <w:color w:val="auto"/>
          <w:sz w:val="32"/>
          <w:szCs w:val="32"/>
        </w:rPr>
        <w:t>%。决算数大于预算数的主要原因：</w:t>
      </w:r>
      <w:r>
        <w:rPr>
          <w:rFonts w:hint="eastAsia" w:ascii="仿宋_GB2312" w:hAnsi="ˎ̥" w:eastAsia="仿宋_GB2312"/>
          <w:color w:val="auto"/>
          <w:sz w:val="32"/>
          <w:szCs w:val="32"/>
          <w:lang w:eastAsia="zh-CN"/>
        </w:rPr>
        <w:t>主要由于预算取数参考以前年度工资数据测算，无法精准预测，以及缴费基数变化而产生的差额</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六、一般公共预算财政拨款基本支出决算情况说明</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年度财政拨款基本支出</w:t>
      </w:r>
      <w:r>
        <w:rPr>
          <w:rFonts w:hint="eastAsia" w:ascii="仿宋_GB2312" w:hAnsi="ˎ̥" w:eastAsia="仿宋_GB2312"/>
          <w:color w:val="auto"/>
          <w:sz w:val="32"/>
          <w:szCs w:val="32"/>
          <w:lang w:val="en-US" w:eastAsia="zh-CN"/>
        </w:rPr>
        <w:t>6238.71</w:t>
      </w:r>
      <w:r>
        <w:rPr>
          <w:rFonts w:hint="eastAsia" w:ascii="仿宋_GB2312" w:hAnsi="ˎ̥" w:eastAsia="仿宋_GB2312"/>
          <w:color w:val="auto"/>
          <w:sz w:val="32"/>
          <w:szCs w:val="32"/>
        </w:rPr>
        <w:t>万元，其中：人员经费</w:t>
      </w:r>
      <w:r>
        <w:rPr>
          <w:rFonts w:ascii="仿宋_GB2312" w:hAnsi="ˎ̥" w:eastAsia="仿宋_GB2312"/>
          <w:color w:val="auto"/>
          <w:sz w:val="32"/>
          <w:szCs w:val="32"/>
          <w:lang w:val="en-US"/>
        </w:rPr>
        <w:t>5,380.27</w:t>
      </w:r>
      <w:r>
        <w:rPr>
          <w:rFonts w:hint="eastAsia" w:ascii="仿宋_GB2312" w:hAnsi="ˎ̥" w:eastAsia="仿宋_GB2312"/>
          <w:color w:val="auto"/>
          <w:sz w:val="32"/>
          <w:szCs w:val="32"/>
        </w:rPr>
        <w:t>万元，主要包括：工资福利支出中的基本工资、津贴补贴、奖金、机关事业单位基本养老保险缴费、职业年金缴费、职工基本医疗保险缴费、公务员医疗补助缴费、其他社会保障缴费、住房公积金、医疗费</w:t>
      </w:r>
      <w:r>
        <w:rPr>
          <w:rFonts w:hint="eastAsia" w:ascii="仿宋_GB2312" w:hAnsi="ˎ̥" w:eastAsia="仿宋_GB2312"/>
          <w:color w:val="auto"/>
          <w:sz w:val="32"/>
          <w:szCs w:val="32"/>
          <w:lang w:eastAsia="zh-CN"/>
        </w:rPr>
        <w:t>和</w:t>
      </w:r>
      <w:r>
        <w:rPr>
          <w:rFonts w:hint="eastAsia" w:ascii="仿宋_GB2312" w:hAnsi="ˎ̥" w:eastAsia="仿宋_GB2312"/>
          <w:color w:val="auto"/>
          <w:sz w:val="32"/>
          <w:szCs w:val="32"/>
        </w:rPr>
        <w:t>其他工资福利支出；对个人和家庭的补助中的生活补助、奖励金</w:t>
      </w:r>
      <w:r>
        <w:rPr>
          <w:rFonts w:hint="eastAsia" w:ascii="仿宋_GB2312" w:hAnsi="ˎ̥" w:eastAsia="仿宋_GB2312"/>
          <w:color w:val="auto"/>
          <w:sz w:val="32"/>
          <w:szCs w:val="32"/>
          <w:lang w:eastAsia="zh-CN"/>
        </w:rPr>
        <w:t>和</w:t>
      </w:r>
      <w:r>
        <w:rPr>
          <w:rFonts w:hint="eastAsia" w:ascii="仿宋_GB2312" w:hAnsi="ˎ̥" w:eastAsia="仿宋_GB2312"/>
          <w:color w:val="auto"/>
          <w:sz w:val="32"/>
          <w:szCs w:val="32"/>
        </w:rPr>
        <w:t>其他对个人和家庭的补助。公用经费</w:t>
      </w:r>
      <w:r>
        <w:rPr>
          <w:rFonts w:ascii="仿宋_GB2312" w:hAnsi="ˎ̥" w:eastAsia="仿宋_GB2312"/>
          <w:color w:val="auto"/>
          <w:sz w:val="32"/>
          <w:szCs w:val="32"/>
          <w:lang w:val="en-US"/>
        </w:rPr>
        <w:t>858.44</w:t>
      </w:r>
      <w:r>
        <w:rPr>
          <w:rFonts w:hint="eastAsia" w:ascii="仿宋_GB2312" w:hAnsi="ˎ̥" w:eastAsia="仿宋_GB2312"/>
          <w:color w:val="auto"/>
          <w:sz w:val="32"/>
          <w:szCs w:val="32"/>
        </w:rPr>
        <w:t>万元，主要包括：商品和服务支出中的办公费、印刷费、水费、电费、邮电费、物业管理费、差旅费、维修（护）费、租赁费、会议费、培训费、公务接待费、专用材料费、专用燃料费、劳务费、工会经费、公务用车运行维护费、其他交通费用</w:t>
      </w:r>
      <w:r>
        <w:rPr>
          <w:rFonts w:hint="eastAsia" w:ascii="仿宋_GB2312" w:hAnsi="ˎ̥" w:eastAsia="仿宋_GB2312"/>
          <w:color w:val="auto"/>
          <w:sz w:val="32"/>
          <w:szCs w:val="32"/>
          <w:lang w:eastAsia="zh-CN"/>
        </w:rPr>
        <w:t>和</w:t>
      </w:r>
      <w:r>
        <w:rPr>
          <w:rFonts w:hint="eastAsia" w:ascii="仿宋_GB2312" w:hAnsi="ˎ̥" w:eastAsia="仿宋_GB2312"/>
          <w:color w:val="auto"/>
          <w:sz w:val="32"/>
          <w:szCs w:val="32"/>
        </w:rPr>
        <w:t>其他商品和服务支出。</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七、政府性基金预算财政拨款支出决算情况说明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（一）政府性基金预算财政拨款支出决算总体情况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年度相比，政府性基金预算财政拨款支出</w:t>
      </w:r>
      <w:r>
        <w:rPr>
          <w:rFonts w:hint="eastAsia" w:ascii="仿宋_GB2312" w:hAnsi="ˎ̥" w:eastAsia="仿宋_GB2312"/>
          <w:color w:val="auto"/>
          <w:sz w:val="32"/>
          <w:szCs w:val="32"/>
          <w:lang w:eastAsia="zh-CN"/>
        </w:rPr>
        <w:t>持平</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（二）政府性基金预算财政拨款支出决算结构情况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（三）政府性基金预算财政拨款支出决算具体情况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年度政府性基金预算财政拨款支出年初预算为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八、国有资本经营预算财政拨款支出决算情况说明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（一）国有资本经营预算财政拨款支出决算总体情况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年度国有资本经营预算财政拨款支出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年度相比，国有资本经营预算财政拨款支出</w:t>
      </w:r>
      <w:r>
        <w:rPr>
          <w:rFonts w:hint="eastAsia" w:ascii="仿宋_GB2312" w:hAnsi="ˎ̥" w:eastAsia="仿宋_GB2312"/>
          <w:color w:val="auto"/>
          <w:sz w:val="32"/>
          <w:szCs w:val="32"/>
          <w:lang w:eastAsia="zh-CN"/>
        </w:rPr>
        <w:t>持平</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（二）国有资本经营预算财政拨款支出决算结构情况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年度国有资本经营预算财政拨款支出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（三）国有资本经营预算财政拨款支出决算具体情况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年度国有资本经营预算财政拨款支出年初预算为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color w:val="auto"/>
          <w:sz w:val="32"/>
          <w:szCs w:val="32"/>
        </w:rPr>
      </w:pPr>
      <w:r>
        <w:rPr>
          <w:rFonts w:hint="eastAsia" w:ascii="黑体" w:hAnsi="黑体" w:eastAsia="黑体" w:cs="黑体"/>
          <w:bCs/>
          <w:color w:val="auto"/>
          <w:sz w:val="32"/>
          <w:szCs w:val="32"/>
        </w:rPr>
        <w:t>九、财政拨款“三公”经费支出决算情况说明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（一）财政拨款“三公”经费支出决算总体情况说明</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 xml:space="preserve">    </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年度财政拨款“三公”经费支出预算为</w:t>
      </w:r>
      <w:r>
        <w:rPr>
          <w:rFonts w:hint="eastAsia" w:ascii="仿宋_GB2312" w:hAnsi="ˎ̥" w:eastAsia="仿宋_GB2312"/>
          <w:color w:val="auto"/>
          <w:sz w:val="32"/>
          <w:szCs w:val="32"/>
          <w:lang w:val="en-US" w:eastAsia="zh-CN"/>
        </w:rPr>
        <w:t>94.2</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57.33</w:t>
      </w:r>
      <w:r>
        <w:rPr>
          <w:rFonts w:hint="eastAsia" w:ascii="仿宋_GB2312" w:hAnsi="ˎ̥" w:eastAsia="仿宋_GB2312"/>
          <w:color w:val="auto"/>
          <w:sz w:val="32"/>
          <w:szCs w:val="32"/>
        </w:rPr>
        <w:t>万元，完成预算的</w:t>
      </w:r>
      <w:r>
        <w:rPr>
          <w:rFonts w:hint="eastAsia" w:ascii="仿宋_GB2312" w:hAnsi="ˎ̥" w:eastAsia="仿宋_GB2312"/>
          <w:color w:val="auto"/>
          <w:sz w:val="32"/>
          <w:szCs w:val="32"/>
          <w:lang w:val="en-US" w:eastAsia="zh-CN"/>
        </w:rPr>
        <w:t>60.8</w:t>
      </w:r>
      <w:r>
        <w:rPr>
          <w:rFonts w:hint="eastAsia" w:ascii="仿宋_GB2312" w:hAnsi="ˎ̥" w:eastAsia="仿宋_GB2312"/>
          <w:color w:val="auto"/>
          <w:sz w:val="32"/>
          <w:szCs w:val="32"/>
        </w:rPr>
        <w:t>%，</w:t>
      </w:r>
      <w:r>
        <w:rPr>
          <w:rFonts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color w:val="auto"/>
          <w:sz w:val="32"/>
          <w:szCs w:val="32"/>
        </w:rPr>
        <w:t>“三公”经费支出减少</w:t>
      </w:r>
      <w:r>
        <w:rPr>
          <w:rFonts w:hint="eastAsia" w:ascii="仿宋_GB2312" w:hAnsi="ˎ̥" w:eastAsia="仿宋_GB2312"/>
          <w:color w:val="auto"/>
          <w:sz w:val="32"/>
          <w:szCs w:val="32"/>
          <w:lang w:val="en-US" w:eastAsia="zh-CN"/>
        </w:rPr>
        <w:t>17.22</w:t>
      </w:r>
      <w:r>
        <w:rPr>
          <w:rFonts w:hint="eastAsia" w:ascii="仿宋_GB2312" w:hAnsi="ˎ̥" w:eastAsia="仿宋_GB2312"/>
          <w:color w:val="auto"/>
          <w:sz w:val="32"/>
          <w:szCs w:val="32"/>
        </w:rPr>
        <w:t>万元</w:t>
      </w:r>
      <w:r>
        <w:rPr>
          <w:rFonts w:ascii="仿宋_GB2312" w:hAnsi="ˎ̥" w:eastAsia="仿宋_GB2312"/>
          <w:color w:val="auto"/>
          <w:sz w:val="32"/>
          <w:szCs w:val="32"/>
        </w:rPr>
        <w:t>，</w:t>
      </w:r>
      <w:r>
        <w:rPr>
          <w:rFonts w:hint="eastAsia" w:ascii="仿宋_GB2312" w:hAnsi="ˎ̥" w:eastAsia="仿宋_GB2312"/>
          <w:color w:val="auto"/>
          <w:sz w:val="32"/>
          <w:szCs w:val="32"/>
        </w:rPr>
        <w:t>下降</w:t>
      </w:r>
      <w:r>
        <w:rPr>
          <w:rFonts w:hint="eastAsia" w:ascii="仿宋_GB2312" w:hAnsi="ˎ̥" w:eastAsia="仿宋_GB2312"/>
          <w:color w:val="auto"/>
          <w:sz w:val="32"/>
          <w:szCs w:val="32"/>
          <w:lang w:val="en-US" w:eastAsia="zh-CN"/>
        </w:rPr>
        <w:t>23</w:t>
      </w:r>
      <w:r>
        <w:rPr>
          <w:rFonts w:hint="eastAsia" w:ascii="仿宋_GB2312" w:hAnsi="ˎ̥" w:eastAsia="仿宋_GB2312"/>
          <w:color w:val="auto"/>
          <w:sz w:val="32"/>
          <w:szCs w:val="32"/>
        </w:rPr>
        <w:t>%，</w:t>
      </w:r>
      <w:r>
        <w:rPr>
          <w:rFonts w:ascii="仿宋_GB2312" w:hAnsi="ˎ̥" w:eastAsia="仿宋_GB2312"/>
          <w:color w:val="auto"/>
          <w:sz w:val="32"/>
          <w:szCs w:val="32"/>
        </w:rPr>
        <w:t>主要原因是</w:t>
      </w:r>
      <w:r>
        <w:rPr>
          <w:rFonts w:hint="eastAsia" w:ascii="仿宋_GB2312" w:hAnsi="ˎ̥" w:eastAsia="仿宋_GB2312"/>
          <w:color w:val="auto"/>
          <w:sz w:val="32"/>
          <w:szCs w:val="32"/>
          <w:lang w:eastAsia="zh-CN"/>
        </w:rPr>
        <w:t>因工作需要，</w:t>
      </w:r>
      <w:r>
        <w:rPr>
          <w:rFonts w:hint="eastAsia" w:ascii="仿宋_GB2312" w:hAnsi="ˎ̥" w:eastAsia="仿宋_GB2312"/>
          <w:color w:val="auto"/>
          <w:sz w:val="32"/>
          <w:szCs w:val="32"/>
          <w:lang w:val="en-US" w:eastAsia="zh-CN"/>
        </w:rPr>
        <w:t>2023年购置两辆公车导致公车购置费增加</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rPr>
        <w:t xml:space="preserve">   </w:t>
      </w:r>
      <w:r>
        <w:rPr>
          <w:rFonts w:hint="eastAsia" w:ascii="楷体" w:hAnsi="楷体" w:eastAsia="楷体" w:cs="楷体"/>
          <w:color w:val="auto"/>
          <w:sz w:val="32"/>
          <w:szCs w:val="32"/>
        </w:rPr>
        <w:t xml:space="preserve"> （二）财政拨款“三公”经费支出决算具体情况说明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年度财政拨款“三公”经费支出决算中，因公出国（境）费支出决算</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%；公务用车购置及运行维护费支出决算</w:t>
      </w:r>
      <w:r>
        <w:rPr>
          <w:rFonts w:hint="default" w:ascii="仿宋_GB2312" w:hAnsi="ˎ̥" w:eastAsia="仿宋_GB2312"/>
          <w:color w:val="auto"/>
          <w:sz w:val="32"/>
          <w:szCs w:val="32"/>
          <w:lang w:val="en-US"/>
        </w:rPr>
        <w:t>57.15</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99.7</w:t>
      </w:r>
      <w:r>
        <w:rPr>
          <w:rFonts w:hint="eastAsia" w:ascii="仿宋_GB2312" w:hAnsi="ˎ̥" w:eastAsia="仿宋_GB2312"/>
          <w:color w:val="auto"/>
          <w:sz w:val="32"/>
          <w:szCs w:val="32"/>
        </w:rPr>
        <w:t>%；公务接待费支出决算</w:t>
      </w:r>
      <w:r>
        <w:rPr>
          <w:rFonts w:hint="default" w:ascii="仿宋_GB2312" w:hAnsi="ˎ̥" w:eastAsia="仿宋_GB2312"/>
          <w:color w:val="auto"/>
          <w:sz w:val="32"/>
          <w:szCs w:val="32"/>
          <w:lang w:val="en-US"/>
        </w:rPr>
        <w:t>0.18</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0.3</w:t>
      </w:r>
      <w:r>
        <w:rPr>
          <w:rFonts w:hint="eastAsia" w:ascii="仿宋_GB2312" w:hAnsi="ˎ̥" w:eastAsia="仿宋_GB2312"/>
          <w:color w:val="auto"/>
          <w:sz w:val="32"/>
          <w:szCs w:val="32"/>
        </w:rPr>
        <w:t>%。具体情况如下：</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1.因公出国（境）费</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万元。全年安排因公出国（境）团组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个，因公出国（境）</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人次。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因公出国（境）费支出决算</w:t>
      </w:r>
      <w:r>
        <w:rPr>
          <w:rFonts w:hint="eastAsia" w:ascii="仿宋_GB2312" w:hAnsi="ˎ̥" w:eastAsia="仿宋_GB2312"/>
          <w:color w:val="auto"/>
          <w:sz w:val="32"/>
          <w:szCs w:val="32"/>
          <w:lang w:val="en-US" w:eastAsia="zh-CN"/>
        </w:rPr>
        <w:t>数</w:t>
      </w:r>
      <w:r>
        <w:rPr>
          <w:rFonts w:hint="eastAsia" w:ascii="仿宋_GB2312" w:hAnsi="ˎ̥" w:eastAsia="仿宋_GB2312"/>
          <w:color w:val="auto"/>
          <w:sz w:val="32"/>
          <w:szCs w:val="32"/>
        </w:rPr>
        <w:t>比预算数减少</w:t>
      </w:r>
      <w:r>
        <w:rPr>
          <w:rFonts w:hint="eastAsia" w:ascii="仿宋_GB2312" w:hAnsi="ˎ̥" w:eastAsia="仿宋_GB2312"/>
          <w:color w:val="auto"/>
          <w:sz w:val="32"/>
          <w:szCs w:val="32"/>
          <w:lang w:val="en-US" w:eastAsia="zh-CN"/>
        </w:rPr>
        <w:t>10</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完成预算的0</w:t>
      </w:r>
      <w:r>
        <w:rPr>
          <w:rFonts w:hint="default" w:ascii="仿宋_GB2312" w:hAnsi="ˎ̥" w:eastAsia="仿宋_GB2312"/>
          <w:color w:val="auto"/>
          <w:sz w:val="32"/>
          <w:szCs w:val="32"/>
          <w:lang w:val="en-US" w:eastAsia="zh-CN"/>
        </w:rPr>
        <w:t>%</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color w:val="auto"/>
          <w:sz w:val="32"/>
          <w:szCs w:val="32"/>
        </w:rPr>
        <w:t>因公出国（境）费支出</w:t>
      </w:r>
      <w:r>
        <w:rPr>
          <w:rFonts w:hint="eastAsia" w:ascii="仿宋_GB2312" w:hAnsi="ˎ̥" w:eastAsia="仿宋_GB2312"/>
          <w:color w:val="auto"/>
          <w:sz w:val="32"/>
          <w:szCs w:val="32"/>
          <w:lang w:eastAsia="zh-CN"/>
        </w:rPr>
        <w:t>持平</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 xml:space="preserve">    2.公务用车购置及运行维护费</w:t>
      </w:r>
      <w:r>
        <w:rPr>
          <w:rFonts w:hint="eastAsia" w:ascii="仿宋_GB2312" w:hAnsi="ˎ̥" w:eastAsia="仿宋_GB2312"/>
          <w:b w:val="0"/>
          <w:bCs/>
          <w:color w:val="auto"/>
          <w:sz w:val="32"/>
          <w:szCs w:val="32"/>
        </w:rPr>
        <w:t>支出</w:t>
      </w:r>
      <w:r>
        <w:rPr>
          <w:rFonts w:hint="default" w:ascii="仿宋_GB2312" w:hAnsi="ˎ̥" w:eastAsia="仿宋_GB2312"/>
          <w:color w:val="auto"/>
          <w:sz w:val="32"/>
          <w:szCs w:val="32"/>
          <w:lang w:val="en-US"/>
        </w:rPr>
        <w:t>57.15</w:t>
      </w:r>
      <w:r>
        <w:rPr>
          <w:rFonts w:hint="eastAsia" w:ascii="仿宋_GB2312" w:hAnsi="ˎ̥" w:eastAsia="仿宋_GB2312"/>
          <w:color w:val="auto"/>
          <w:sz w:val="32"/>
          <w:szCs w:val="32"/>
        </w:rPr>
        <w:t>万元。其中：</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公务用车购置</w:t>
      </w:r>
      <w:r>
        <w:rPr>
          <w:rFonts w:hint="eastAsia" w:ascii="仿宋_GB2312" w:hAnsi="ˎ̥" w:eastAsia="仿宋_GB2312"/>
          <w:b w:val="0"/>
          <w:bCs/>
          <w:color w:val="auto"/>
          <w:sz w:val="32"/>
          <w:szCs w:val="32"/>
        </w:rPr>
        <w:t>支出</w:t>
      </w:r>
      <w:r>
        <w:rPr>
          <w:rFonts w:hint="default" w:ascii="仿宋_GB2312" w:hAnsi="ˎ̥" w:eastAsia="仿宋_GB2312"/>
          <w:color w:val="auto"/>
          <w:sz w:val="32"/>
          <w:szCs w:val="32"/>
          <w:lang w:val="en-US"/>
        </w:rPr>
        <w:t>19.48</w:t>
      </w:r>
      <w:r>
        <w:rPr>
          <w:rFonts w:hint="eastAsia" w:ascii="仿宋_GB2312" w:hAnsi="ˎ̥" w:eastAsia="仿宋_GB2312"/>
          <w:color w:val="auto"/>
          <w:sz w:val="32"/>
          <w:szCs w:val="32"/>
        </w:rPr>
        <w:t>万元，全年购置公务用车</w:t>
      </w:r>
      <w:r>
        <w:rPr>
          <w:rFonts w:hint="eastAsia" w:ascii="仿宋_GB2312" w:hAnsi="ˎ̥" w:eastAsia="仿宋_GB2312"/>
          <w:color w:val="auto"/>
          <w:sz w:val="32"/>
          <w:szCs w:val="32"/>
          <w:lang w:val="en-US" w:eastAsia="zh-CN"/>
        </w:rPr>
        <w:t>1</w:t>
      </w:r>
      <w:r>
        <w:rPr>
          <w:rFonts w:hint="eastAsia" w:ascii="仿宋_GB2312" w:hAnsi="ˎ̥" w:eastAsia="仿宋_GB2312"/>
          <w:color w:val="auto"/>
          <w:sz w:val="32"/>
          <w:szCs w:val="32"/>
        </w:rPr>
        <w:t>辆，主要用于</w:t>
      </w:r>
      <w:r>
        <w:rPr>
          <w:rFonts w:hint="eastAsia" w:ascii="仿宋_GB2312" w:hAnsi="ˎ̥" w:eastAsia="仿宋_GB2312"/>
          <w:color w:val="auto"/>
          <w:sz w:val="32"/>
          <w:szCs w:val="32"/>
          <w:lang w:eastAsia="zh-CN"/>
        </w:rPr>
        <w:t>购置车载便民法庭车辆，用于移动办案</w:t>
      </w:r>
      <w:r>
        <w:rPr>
          <w:rFonts w:hint="eastAsia" w:ascii="仿宋_GB2312" w:hAnsi="ˎ̥" w:eastAsia="仿宋_GB2312"/>
          <w:color w:val="auto"/>
          <w:sz w:val="32"/>
          <w:szCs w:val="32"/>
        </w:rPr>
        <w:t>，年末公务用车保有量</w:t>
      </w:r>
      <w:r>
        <w:rPr>
          <w:rFonts w:hint="eastAsia" w:ascii="仿宋_GB2312" w:hAnsi="ˎ̥" w:eastAsia="仿宋_GB2312"/>
          <w:color w:val="auto"/>
          <w:sz w:val="32"/>
          <w:szCs w:val="32"/>
          <w:lang w:val="en-US" w:eastAsia="zh-CN"/>
        </w:rPr>
        <w:t>17</w:t>
      </w:r>
      <w:r>
        <w:rPr>
          <w:rFonts w:hint="eastAsia" w:ascii="仿宋_GB2312" w:hAnsi="ˎ̥" w:eastAsia="仿宋_GB2312"/>
          <w:color w:val="auto"/>
          <w:sz w:val="32"/>
          <w:szCs w:val="32"/>
        </w:rPr>
        <w:t>辆。</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公务用车运行维护费</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37.66</w:t>
      </w:r>
      <w:r>
        <w:rPr>
          <w:rFonts w:hint="eastAsia" w:ascii="仿宋_GB2312" w:hAnsi="ˎ̥" w:eastAsia="仿宋_GB2312"/>
          <w:color w:val="auto"/>
          <w:sz w:val="32"/>
          <w:szCs w:val="32"/>
        </w:rPr>
        <w:t>万元，主要用于</w:t>
      </w:r>
      <w:r>
        <w:rPr>
          <w:rFonts w:hint="eastAsia" w:ascii="仿宋_GB2312" w:hAnsi="ˎ̥" w:eastAsia="仿宋_GB2312"/>
          <w:color w:val="auto"/>
          <w:sz w:val="32"/>
          <w:szCs w:val="32"/>
          <w:lang w:eastAsia="zh-CN"/>
        </w:rPr>
        <w:t>公务用车的维修维护费、年检检测费、燃料费及保险费等运维支出</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Cs/>
          <w:color w:val="auto"/>
          <w:sz w:val="32"/>
          <w:szCs w:val="32"/>
        </w:rPr>
      </w:pPr>
      <w:r>
        <w:rPr>
          <w:rFonts w:hint="eastAsia" w:ascii="仿宋_GB2312" w:hAnsi="ˎ̥" w:eastAsia="仿宋_GB2312"/>
          <w:bCs/>
          <w:color w:val="auto"/>
          <w:sz w:val="32"/>
          <w:szCs w:val="32"/>
        </w:rPr>
        <w:t>公务用车购置及运行维护费支出决算数</w:t>
      </w:r>
      <w:r>
        <w:rPr>
          <w:rFonts w:hint="eastAsia" w:ascii="仿宋_GB2312" w:hAnsi="ˎ̥" w:eastAsia="仿宋_GB2312"/>
          <w:color w:val="auto"/>
          <w:sz w:val="32"/>
          <w:szCs w:val="32"/>
        </w:rPr>
        <w:t>比预算数减少</w:t>
      </w:r>
      <w:r>
        <w:rPr>
          <w:rFonts w:hint="eastAsia" w:ascii="仿宋_GB2312" w:hAnsi="ˎ̥" w:eastAsia="仿宋_GB2312"/>
          <w:color w:val="auto"/>
          <w:sz w:val="32"/>
          <w:szCs w:val="32"/>
          <w:lang w:val="en-US" w:eastAsia="zh-CN"/>
        </w:rPr>
        <w:t>17.05</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完成预算的77</w:t>
      </w:r>
      <w:r>
        <w:rPr>
          <w:rFonts w:hint="eastAsia" w:ascii="仿宋_GB2312" w:hAnsi="ˎ̥" w:eastAsia="仿宋_GB2312"/>
          <w:color w:val="auto"/>
          <w:sz w:val="32"/>
          <w:szCs w:val="32"/>
        </w:rPr>
        <w:t>%</w:t>
      </w:r>
      <w:r>
        <w:rPr>
          <w:rFonts w:hint="eastAsia" w:ascii="仿宋_GB2312" w:hAnsi="ˎ̥" w:eastAsia="仿宋_GB2312"/>
          <w:color w:val="auto"/>
          <w:sz w:val="32"/>
          <w:szCs w:val="32"/>
          <w:lang w:val="en-US" w:eastAsia="zh-CN"/>
        </w:rPr>
        <w:t>。</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bCs/>
          <w:color w:val="auto"/>
          <w:sz w:val="32"/>
          <w:szCs w:val="32"/>
        </w:rPr>
        <w:t>公务用车购置及运行维护费</w:t>
      </w:r>
      <w:r>
        <w:rPr>
          <w:rFonts w:hint="eastAsia" w:ascii="仿宋_GB2312" w:hAnsi="ˎ̥" w:eastAsia="仿宋_GB2312"/>
          <w:color w:val="auto"/>
          <w:sz w:val="32"/>
          <w:szCs w:val="32"/>
        </w:rPr>
        <w:t>支出减少</w:t>
      </w:r>
      <w:r>
        <w:rPr>
          <w:rFonts w:hint="eastAsia" w:ascii="仿宋_GB2312" w:hAnsi="ˎ̥" w:eastAsia="仿宋_GB2312"/>
          <w:color w:val="auto"/>
          <w:sz w:val="32"/>
          <w:szCs w:val="32"/>
          <w:lang w:val="en-US" w:eastAsia="zh-CN"/>
        </w:rPr>
        <w:t>17.4</w:t>
      </w:r>
      <w:r>
        <w:rPr>
          <w:rFonts w:hint="eastAsia" w:ascii="仿宋_GB2312" w:hAnsi="ˎ̥" w:eastAsia="仿宋_GB2312"/>
          <w:color w:val="auto"/>
          <w:sz w:val="32"/>
          <w:szCs w:val="32"/>
        </w:rPr>
        <w:t>万元</w:t>
      </w:r>
      <w:r>
        <w:rPr>
          <w:rFonts w:ascii="仿宋_GB2312" w:hAnsi="ˎ̥" w:eastAsia="仿宋_GB2312"/>
          <w:color w:val="auto"/>
          <w:sz w:val="32"/>
          <w:szCs w:val="32"/>
        </w:rPr>
        <w:t>，</w:t>
      </w:r>
      <w:r>
        <w:rPr>
          <w:rFonts w:hint="eastAsia" w:ascii="仿宋_GB2312" w:hAnsi="ˎ̥" w:eastAsia="仿宋_GB2312"/>
          <w:color w:val="auto"/>
          <w:sz w:val="32"/>
          <w:szCs w:val="32"/>
        </w:rPr>
        <w:t>下降</w:t>
      </w:r>
      <w:r>
        <w:rPr>
          <w:rFonts w:hint="eastAsia" w:ascii="仿宋_GB2312" w:hAnsi="ˎ̥" w:eastAsia="仿宋_GB2312"/>
          <w:color w:val="auto"/>
          <w:sz w:val="32"/>
          <w:szCs w:val="32"/>
          <w:lang w:val="en-US" w:eastAsia="zh-CN"/>
        </w:rPr>
        <w:t>23.4</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eastAsia="zh-CN"/>
        </w:rPr>
        <w:t>因工作需要，</w:t>
      </w:r>
      <w:r>
        <w:rPr>
          <w:rFonts w:hint="eastAsia" w:ascii="仿宋_GB2312" w:hAnsi="ˎ̥" w:eastAsia="仿宋_GB2312"/>
          <w:color w:val="auto"/>
          <w:sz w:val="32"/>
          <w:szCs w:val="32"/>
          <w:lang w:val="en-US" w:eastAsia="zh-CN"/>
        </w:rPr>
        <w:t>2024年购买一辆公车，2023年购买两辆公车</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 xml:space="preserve">    3.公务接待费</w:t>
      </w:r>
      <w:r>
        <w:rPr>
          <w:rFonts w:hint="eastAsia" w:ascii="仿宋_GB2312" w:hAnsi="ˎ̥" w:eastAsia="仿宋_GB2312"/>
          <w:b w:val="0"/>
          <w:bCs/>
          <w:color w:val="auto"/>
          <w:sz w:val="32"/>
          <w:szCs w:val="32"/>
        </w:rPr>
        <w:t>支出</w:t>
      </w:r>
      <w:r>
        <w:rPr>
          <w:rFonts w:hint="default" w:ascii="仿宋_GB2312" w:hAnsi="ˎ̥" w:eastAsia="仿宋_GB2312"/>
          <w:color w:val="auto"/>
          <w:sz w:val="32"/>
          <w:szCs w:val="32"/>
          <w:lang w:val="en-US"/>
        </w:rPr>
        <w:t>0.18</w:t>
      </w:r>
      <w:r>
        <w:rPr>
          <w:rFonts w:hint="eastAsia" w:ascii="仿宋_GB2312" w:hAnsi="ˎ̥" w:eastAsia="仿宋_GB2312"/>
          <w:color w:val="auto"/>
          <w:sz w:val="32"/>
          <w:szCs w:val="32"/>
        </w:rPr>
        <w:t>万元，其中：</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国内接待费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0.18</w:t>
      </w:r>
      <w:r>
        <w:rPr>
          <w:rFonts w:hint="eastAsia" w:ascii="仿宋_GB2312" w:hAnsi="ˎ̥" w:eastAsia="仿宋_GB2312"/>
          <w:color w:val="auto"/>
          <w:sz w:val="32"/>
          <w:szCs w:val="32"/>
        </w:rPr>
        <w:t>万元，国内公务接待</w:t>
      </w:r>
      <w:r>
        <w:rPr>
          <w:rFonts w:hint="eastAsia" w:ascii="仿宋_GB2312" w:hAnsi="ˎ̥" w:eastAsia="仿宋_GB2312"/>
          <w:color w:val="auto"/>
          <w:sz w:val="32"/>
          <w:szCs w:val="32"/>
          <w:lang w:val="en-US" w:eastAsia="zh-CN"/>
        </w:rPr>
        <w:t>1</w:t>
      </w:r>
      <w:r>
        <w:rPr>
          <w:rFonts w:hint="eastAsia" w:ascii="仿宋_GB2312" w:hAnsi="ˎ̥" w:eastAsia="仿宋_GB2312"/>
          <w:color w:val="auto"/>
          <w:sz w:val="32"/>
          <w:szCs w:val="32"/>
        </w:rPr>
        <w:t>批次，接待</w:t>
      </w:r>
      <w:r>
        <w:rPr>
          <w:rFonts w:hint="eastAsia" w:ascii="仿宋_GB2312" w:hAnsi="ˎ̥" w:eastAsia="仿宋_GB2312"/>
          <w:color w:val="auto"/>
          <w:sz w:val="32"/>
          <w:szCs w:val="32"/>
          <w:lang w:val="en-US" w:eastAsia="zh-CN"/>
        </w:rPr>
        <w:t>14</w:t>
      </w:r>
      <w:r>
        <w:rPr>
          <w:rFonts w:hint="eastAsia" w:ascii="仿宋_GB2312" w:hAnsi="ˎ̥" w:eastAsia="仿宋_GB2312"/>
          <w:color w:val="auto"/>
          <w:sz w:val="32"/>
          <w:szCs w:val="32"/>
        </w:rPr>
        <w:t>人次；主要用于</w:t>
      </w:r>
      <w:r>
        <w:rPr>
          <w:rFonts w:hint="eastAsia" w:ascii="仿宋_GB2312" w:hAnsi="ˎ̥" w:eastAsia="仿宋_GB2312"/>
          <w:color w:val="auto"/>
          <w:sz w:val="32"/>
          <w:szCs w:val="32"/>
          <w:lang w:eastAsia="zh-CN"/>
        </w:rPr>
        <w:t>支出</w:t>
      </w:r>
      <w:r>
        <w:rPr>
          <w:rFonts w:hint="eastAsia" w:ascii="仿宋_GB2312" w:hAnsi="ˎ̥" w:eastAsia="仿宋_GB2312"/>
          <w:color w:val="auto"/>
          <w:sz w:val="32"/>
          <w:szCs w:val="32"/>
        </w:rPr>
        <w:t>接待最高法院一行到我院</w:t>
      </w:r>
      <w:r>
        <w:rPr>
          <w:rFonts w:hint="eastAsia" w:ascii="仿宋_GB2312" w:hAnsi="ˎ̥" w:eastAsia="仿宋_GB2312"/>
          <w:color w:val="auto"/>
          <w:sz w:val="32"/>
          <w:szCs w:val="32"/>
          <w:lang w:eastAsia="zh-CN"/>
        </w:rPr>
        <w:t>开展</w:t>
      </w:r>
      <w:r>
        <w:rPr>
          <w:rFonts w:hint="eastAsia" w:ascii="仿宋_GB2312" w:hAnsi="ˎ̥" w:eastAsia="仿宋_GB2312"/>
          <w:color w:val="auto"/>
          <w:sz w:val="32"/>
          <w:szCs w:val="32"/>
        </w:rPr>
        <w:t>司法巡查</w:t>
      </w:r>
      <w:r>
        <w:rPr>
          <w:rFonts w:hint="eastAsia" w:ascii="仿宋_GB2312" w:hAnsi="ˎ̥" w:eastAsia="仿宋_GB2312"/>
          <w:color w:val="auto"/>
          <w:sz w:val="32"/>
          <w:szCs w:val="32"/>
          <w:lang w:eastAsia="zh-CN"/>
        </w:rPr>
        <w:t>工作时的</w:t>
      </w:r>
      <w:r>
        <w:rPr>
          <w:rFonts w:hint="eastAsia" w:ascii="仿宋_GB2312" w:hAnsi="ˎ̥" w:eastAsia="仿宋_GB2312"/>
          <w:color w:val="auto"/>
          <w:sz w:val="32"/>
          <w:szCs w:val="32"/>
        </w:rPr>
        <w:t>工作餐费。</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bCs/>
          <w:color w:val="auto"/>
          <w:sz w:val="32"/>
          <w:szCs w:val="32"/>
        </w:rPr>
        <w:t>国（境）外接待费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万元，国（境）外公务接待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批次，接待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人次。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公务接待费支出决算数比预算数减少</w:t>
      </w:r>
      <w:r>
        <w:rPr>
          <w:rFonts w:hint="eastAsia" w:ascii="仿宋_GB2312" w:hAnsi="ˎ̥" w:eastAsia="仿宋_GB2312"/>
          <w:color w:val="auto"/>
          <w:sz w:val="32"/>
          <w:szCs w:val="32"/>
          <w:lang w:val="en-US" w:eastAsia="zh-CN"/>
        </w:rPr>
        <w:t>9.82</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完成预算的1.8</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bCs/>
          <w:color w:val="auto"/>
          <w:sz w:val="32"/>
          <w:szCs w:val="32"/>
        </w:rPr>
        <w:t>公务接待费</w:t>
      </w:r>
      <w:r>
        <w:rPr>
          <w:rFonts w:hint="eastAsia" w:ascii="仿宋_GB2312" w:hAnsi="ˎ̥" w:eastAsia="仿宋_GB2312"/>
          <w:color w:val="auto"/>
          <w:sz w:val="32"/>
          <w:szCs w:val="32"/>
        </w:rPr>
        <w:t>支出减少</w:t>
      </w:r>
      <w:r>
        <w:rPr>
          <w:rFonts w:hint="eastAsia" w:ascii="仿宋_GB2312" w:hAnsi="ˎ̥" w:eastAsia="仿宋_GB2312"/>
          <w:color w:val="auto"/>
          <w:sz w:val="32"/>
          <w:szCs w:val="32"/>
          <w:lang w:val="en-US" w:eastAsia="zh-CN"/>
        </w:rPr>
        <w:t>0.02</w:t>
      </w:r>
      <w:r>
        <w:rPr>
          <w:rFonts w:hint="eastAsia" w:ascii="仿宋_GB2312" w:hAnsi="ˎ̥" w:eastAsia="仿宋_GB2312"/>
          <w:color w:val="auto"/>
          <w:sz w:val="32"/>
          <w:szCs w:val="32"/>
        </w:rPr>
        <w:t>万元</w:t>
      </w:r>
      <w:r>
        <w:rPr>
          <w:rFonts w:ascii="仿宋_GB2312" w:hAnsi="ˎ̥" w:eastAsia="仿宋_GB2312"/>
          <w:color w:val="auto"/>
          <w:sz w:val="32"/>
          <w:szCs w:val="32"/>
        </w:rPr>
        <w:t>，</w:t>
      </w:r>
      <w:r>
        <w:rPr>
          <w:rFonts w:hint="eastAsia" w:ascii="仿宋_GB2312" w:hAnsi="ˎ̥" w:eastAsia="仿宋_GB2312"/>
          <w:color w:val="auto"/>
          <w:sz w:val="32"/>
          <w:szCs w:val="32"/>
        </w:rPr>
        <w:t>下降</w:t>
      </w:r>
      <w:r>
        <w:rPr>
          <w:rFonts w:hint="eastAsia" w:ascii="仿宋_GB2312" w:hAnsi="ˎ̥" w:eastAsia="仿宋_GB2312"/>
          <w:color w:val="auto"/>
          <w:sz w:val="32"/>
          <w:szCs w:val="32"/>
          <w:lang w:val="en-US" w:eastAsia="zh-CN"/>
        </w:rPr>
        <w:t>10</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eastAsia="zh-CN"/>
        </w:rPr>
        <w:t>厉行节约，公务接待需求减少</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十、预算绩效情况说明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（一）绩效管理工作开展情况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根据财政预算绩效管理要求，可按照如下格式说明：根据预算管理要求，我部门组织对</w:t>
      </w:r>
      <w:r>
        <w:rPr>
          <w:rFonts w:hint="default" w:ascii="仿宋_GB2312" w:eastAsia="仿宋_GB2312"/>
          <w:color w:val="auto"/>
          <w:sz w:val="32"/>
          <w:szCs w:val="32"/>
          <w:lang w:val="en-US"/>
        </w:rPr>
        <w:t>2024</w:t>
      </w:r>
      <w:r>
        <w:rPr>
          <w:rFonts w:hint="eastAsia" w:ascii="仿宋_GB2312" w:eastAsia="仿宋_GB2312"/>
          <w:color w:val="auto"/>
          <w:sz w:val="32"/>
          <w:szCs w:val="32"/>
        </w:rPr>
        <w:t>年度一般公共预算项目支出全面开展绩效自评</w:t>
      </w:r>
      <w:r>
        <w:rPr>
          <w:rFonts w:hint="default" w:ascii="仿宋_GB2312" w:eastAsia="仿宋_GB2312"/>
          <w:color w:val="auto"/>
          <w:sz w:val="32"/>
          <w:szCs w:val="32"/>
          <w:lang w:val="en-US"/>
        </w:rPr>
        <w:t>,</w:t>
      </w:r>
      <w:r>
        <w:rPr>
          <w:rFonts w:hint="eastAsia" w:ascii="仿宋_GB2312" w:eastAsia="仿宋_GB2312"/>
          <w:color w:val="auto"/>
          <w:sz w:val="32"/>
          <w:szCs w:val="32"/>
          <w:lang w:val="en-US" w:eastAsia="zh-CN"/>
        </w:rPr>
        <w:t>共涉及资金2473.52万元，占一般公共预算项目支出总额的100%</w:t>
      </w:r>
      <w:r>
        <w:rPr>
          <w:rFonts w:hint="eastAsia" w:ascii="仿宋_GB2312" w:eastAsia="仿宋_GB2312"/>
          <w:color w:val="auto"/>
          <w:sz w:val="32"/>
          <w:szCs w:val="32"/>
        </w:rPr>
        <w:t>。</w:t>
      </w:r>
      <w:r>
        <w:rPr>
          <w:rFonts w:hint="eastAsia" w:ascii="仿宋_GB2312" w:eastAsia="仿宋_GB2312"/>
          <w:color w:val="auto"/>
          <w:sz w:val="32"/>
          <w:szCs w:val="32"/>
          <w:lang w:eastAsia="zh-CN"/>
        </w:rPr>
        <w:t>由于我院无</w:t>
      </w:r>
      <w:r>
        <w:rPr>
          <w:rFonts w:hint="eastAsia" w:ascii="仿宋_GB2312" w:eastAsia="仿宋_GB2312"/>
          <w:color w:val="auto"/>
          <w:sz w:val="32"/>
          <w:szCs w:val="32"/>
          <w:lang w:bidi="ar"/>
        </w:rPr>
        <w:t>政府性基金预算</w:t>
      </w:r>
      <w:r>
        <w:rPr>
          <w:rFonts w:hint="eastAsia" w:ascii="仿宋_GB2312" w:eastAsia="仿宋_GB2312"/>
          <w:color w:val="auto"/>
          <w:sz w:val="32"/>
          <w:szCs w:val="32"/>
          <w:lang w:eastAsia="zh-CN" w:bidi="ar"/>
        </w:rPr>
        <w:t>及</w:t>
      </w:r>
      <w:r>
        <w:rPr>
          <w:rFonts w:hint="eastAsia" w:ascii="仿宋_GB2312" w:eastAsia="仿宋_GB2312"/>
          <w:color w:val="auto"/>
          <w:sz w:val="32"/>
          <w:szCs w:val="32"/>
          <w:lang w:bidi="ar"/>
        </w:rPr>
        <w:t>国有资本经营预算</w:t>
      </w:r>
      <w:r>
        <w:rPr>
          <w:rFonts w:hint="eastAsia" w:ascii="仿宋_GB2312" w:eastAsia="仿宋_GB2312"/>
          <w:color w:val="auto"/>
          <w:sz w:val="32"/>
          <w:szCs w:val="32"/>
          <w:lang w:eastAsia="zh-CN" w:bidi="ar"/>
        </w:rPr>
        <w:t>，故</w:t>
      </w:r>
      <w:r>
        <w:rPr>
          <w:rFonts w:hint="eastAsia" w:ascii="仿宋_GB2312" w:eastAsia="仿宋_GB2312"/>
          <w:color w:val="auto"/>
          <w:sz w:val="32"/>
          <w:szCs w:val="32"/>
          <w:lang w:eastAsia="zh-CN"/>
        </w:rPr>
        <w:t>未</w:t>
      </w:r>
      <w:r>
        <w:rPr>
          <w:rFonts w:hint="eastAsia" w:ascii="仿宋_GB2312" w:eastAsia="仿宋_GB2312"/>
          <w:color w:val="auto"/>
          <w:sz w:val="32"/>
          <w:szCs w:val="32"/>
          <w:lang w:bidi="ar"/>
        </w:rPr>
        <w:t>组织对</w:t>
      </w:r>
      <w:r>
        <w:rPr>
          <w:rFonts w:hint="default" w:ascii="仿宋_GB2312" w:eastAsia="仿宋_GB2312"/>
          <w:color w:val="auto"/>
          <w:sz w:val="32"/>
          <w:szCs w:val="32"/>
          <w:lang w:val="en-US" w:bidi="ar"/>
        </w:rPr>
        <w:t>2024</w:t>
      </w:r>
      <w:r>
        <w:rPr>
          <w:rFonts w:hint="eastAsia" w:ascii="仿宋_GB2312" w:eastAsia="仿宋_GB2312"/>
          <w:color w:val="auto"/>
          <w:sz w:val="32"/>
          <w:szCs w:val="32"/>
          <w:lang w:bidi="ar"/>
        </w:rPr>
        <w:t>年度政府性基金预算</w:t>
      </w:r>
      <w:r>
        <w:rPr>
          <w:rFonts w:hint="eastAsia" w:ascii="仿宋_GB2312" w:eastAsia="仿宋_GB2312"/>
          <w:color w:val="auto"/>
          <w:sz w:val="32"/>
          <w:szCs w:val="32"/>
          <w:lang w:eastAsia="zh-CN" w:bidi="ar"/>
        </w:rPr>
        <w:t>及</w:t>
      </w:r>
      <w:r>
        <w:rPr>
          <w:rFonts w:hint="eastAsia" w:ascii="仿宋_GB2312" w:eastAsia="仿宋_GB2312"/>
          <w:color w:val="auto"/>
          <w:sz w:val="32"/>
          <w:szCs w:val="32"/>
          <w:lang w:bidi="ar"/>
        </w:rPr>
        <w:t>国有资本经营预算项目开展绩效自评。</w:t>
      </w:r>
    </w:p>
    <w:p>
      <w:pPr>
        <w:spacing w:before="195" w:line="339" w:lineRule="auto"/>
        <w:ind w:left="54" w:right="80" w:firstLine="649"/>
        <w:rPr>
          <w:rFonts w:hint="eastAsia" w:ascii="仿宋_GB2312" w:eastAsia="仿宋_GB2312"/>
          <w:color w:val="auto"/>
          <w:sz w:val="32"/>
          <w:szCs w:val="32"/>
          <w:lang w:val="en-US" w:eastAsia="zh-CN" w:bidi="ar"/>
        </w:rPr>
      </w:pPr>
      <w:r>
        <w:rPr>
          <w:rFonts w:hint="eastAsia" w:ascii="仿宋_GB2312" w:eastAsia="仿宋_GB2312"/>
          <w:color w:val="auto"/>
          <w:sz w:val="32"/>
          <w:szCs w:val="32"/>
        </w:rPr>
        <w:t>共组织对“</w:t>
      </w:r>
      <w:r>
        <w:rPr>
          <w:rFonts w:hint="eastAsia" w:ascii="仿宋_GB2312" w:eastAsia="仿宋_GB2312"/>
          <w:color w:val="auto"/>
          <w:sz w:val="32"/>
          <w:szCs w:val="32"/>
          <w:lang w:val="en-US" w:eastAsia="zh-CN"/>
        </w:rPr>
        <w:t>执法办案业务</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个项目开展了部门评价，</w:t>
      </w:r>
      <w:r>
        <w:rPr>
          <w:rFonts w:hint="eastAsia" w:ascii="仿宋_GB2312" w:eastAsia="仿宋_GB2312"/>
          <w:color w:val="auto"/>
          <w:sz w:val="32"/>
          <w:szCs w:val="32"/>
          <w:lang w:bidi="ar"/>
        </w:rPr>
        <w:t>涉及一般公共预算支出</w:t>
      </w:r>
      <w:r>
        <w:rPr>
          <w:rFonts w:hint="eastAsia" w:ascii="仿宋_GB2312" w:eastAsia="仿宋_GB2312"/>
          <w:color w:val="auto"/>
          <w:sz w:val="32"/>
          <w:szCs w:val="32"/>
          <w:lang w:val="en-US" w:eastAsia="zh-CN" w:bidi="ar"/>
        </w:rPr>
        <w:t>1360.03</w:t>
      </w:r>
      <w:r>
        <w:rPr>
          <w:rFonts w:hint="eastAsia" w:ascii="仿宋_GB2312" w:eastAsia="仿宋_GB2312"/>
          <w:color w:val="auto"/>
          <w:sz w:val="32"/>
          <w:szCs w:val="32"/>
          <w:lang w:bidi="ar"/>
        </w:rPr>
        <w:t>万元</w:t>
      </w:r>
      <w:r>
        <w:rPr>
          <w:rFonts w:hint="eastAsia" w:ascii="仿宋_GB2312" w:eastAsia="仿宋_GB2312"/>
          <w:color w:val="auto"/>
          <w:sz w:val="32"/>
          <w:szCs w:val="32"/>
          <w:lang w:eastAsia="zh-CN" w:bidi="ar"/>
        </w:rPr>
        <w:t>，</w:t>
      </w:r>
      <w:r>
        <w:rPr>
          <w:rFonts w:hint="eastAsia" w:ascii="仿宋_GB2312" w:eastAsia="仿宋_GB2312"/>
          <w:color w:val="auto"/>
          <w:sz w:val="32"/>
          <w:szCs w:val="32"/>
          <w:lang w:bidi="ar"/>
        </w:rPr>
        <w:t>政府性基金预算支出</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万元，国有资本经营预算支出</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万元。</w:t>
      </w:r>
      <w:r>
        <w:rPr>
          <w:rFonts w:hint="eastAsia" w:ascii="仿宋_GB2312" w:eastAsia="仿宋_GB2312"/>
          <w:color w:val="auto"/>
          <w:sz w:val="32"/>
          <w:szCs w:val="32"/>
        </w:rPr>
        <w:t>从评价情况来看，</w:t>
      </w:r>
      <w:r>
        <w:rPr>
          <w:rFonts w:hint="eastAsia" w:ascii="仿宋_GB2312" w:eastAsia="仿宋_GB2312"/>
          <w:color w:val="auto"/>
          <w:sz w:val="32"/>
          <w:szCs w:val="32"/>
          <w:lang w:val="en-US" w:eastAsia="zh-CN"/>
        </w:rPr>
        <w:t>该项目绩效部门评价为优，项目预算执行情况为99.5%，该项目皆用于案件审判执行支出，</w:t>
      </w:r>
      <w:r>
        <w:rPr>
          <w:rFonts w:hint="eastAsia" w:ascii="仿宋_GB2312" w:eastAsia="仿宋_GB2312"/>
          <w:color w:val="auto"/>
          <w:sz w:val="32"/>
          <w:szCs w:val="32"/>
          <w:lang w:val="en-US" w:eastAsia="zh-CN" w:bidi="ar"/>
        </w:rPr>
        <w:t>达到了为法院审判执行工作提供良好资金保障的项目绩效总目标，同时也达到了预订的绩效指标值。项目总体运行情况良好，我院根据财政制度支出项目资金，单位做好内控管理，依法依规支出资金，为案件审判执行提供了资金保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bCs/>
          <w:color w:val="auto"/>
          <w:sz w:val="32"/>
          <w:szCs w:val="32"/>
        </w:rPr>
      </w:pPr>
      <w:r>
        <w:rPr>
          <w:rFonts w:hint="eastAsia" w:ascii="楷体" w:hAnsi="楷体" w:eastAsia="楷体" w:cs="楷体"/>
          <w:bCs/>
          <w:color w:val="auto"/>
          <w:sz w:val="32"/>
          <w:szCs w:val="32"/>
        </w:rPr>
        <w:t>（二）部门决算中项目绩效自评结果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我部门在部门决算中反映</w:t>
      </w:r>
      <w:r>
        <w:rPr>
          <w:rFonts w:hint="eastAsia" w:ascii="仿宋_GB2312" w:eastAsia="仿宋_GB2312"/>
          <w:color w:val="auto"/>
          <w:sz w:val="32"/>
          <w:szCs w:val="32"/>
          <w:lang w:val="en-US" w:eastAsia="zh-CN"/>
        </w:rPr>
        <w:t>综合运行事务</w:t>
      </w:r>
      <w:r>
        <w:rPr>
          <w:rFonts w:hint="eastAsia" w:ascii="仿宋_GB2312" w:eastAsia="仿宋_GB2312"/>
          <w:color w:val="auto"/>
          <w:sz w:val="32"/>
          <w:szCs w:val="32"/>
        </w:rPr>
        <w:t>、</w:t>
      </w:r>
      <w:r>
        <w:rPr>
          <w:rFonts w:hint="default" w:ascii="仿宋_GB2312" w:eastAsia="仿宋_GB2312"/>
          <w:color w:val="auto"/>
          <w:sz w:val="32"/>
          <w:szCs w:val="32"/>
          <w:lang w:val="en-US"/>
        </w:rPr>
        <w:t>审判法庭大楼配套工程项目</w:t>
      </w:r>
      <w:r>
        <w:rPr>
          <w:rFonts w:hint="eastAsia" w:ascii="仿宋_GB2312" w:eastAsia="仿宋_GB2312"/>
          <w:color w:val="auto"/>
          <w:sz w:val="32"/>
          <w:szCs w:val="32"/>
          <w:lang w:val="en-US" w:eastAsia="zh-CN"/>
        </w:rPr>
        <w:t>及执法办案业务</w:t>
      </w:r>
      <w:r>
        <w:rPr>
          <w:rFonts w:hint="eastAsia" w:ascii="仿宋_GB2312" w:eastAsia="仿宋_GB2312"/>
          <w:color w:val="auto"/>
          <w:sz w:val="32"/>
          <w:szCs w:val="32"/>
          <w:lang w:eastAsia="zh-CN"/>
        </w:rPr>
        <w:t>三</w:t>
      </w:r>
      <w:r>
        <w:rPr>
          <w:rFonts w:hint="eastAsia" w:ascii="仿宋_GB2312" w:eastAsia="仿宋_GB2312"/>
          <w:color w:val="auto"/>
          <w:sz w:val="32"/>
          <w:szCs w:val="32"/>
        </w:rPr>
        <w:t>个项目绩效自评结果。</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（1）综合运行事务</w:t>
      </w:r>
      <w:r>
        <w:rPr>
          <w:rFonts w:hint="eastAsia" w:ascii="仿宋_GB2312" w:eastAsia="仿宋_GB2312"/>
          <w:color w:val="auto"/>
          <w:sz w:val="32"/>
          <w:szCs w:val="32"/>
        </w:rPr>
        <w:t>项目绩效自评表：</w:t>
      </w:r>
    </w:p>
    <w:tbl>
      <w:tblPr>
        <w:tblStyle w:val="11"/>
        <w:tblW w:w="99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56"/>
        <w:gridCol w:w="657"/>
        <w:gridCol w:w="1344"/>
        <w:gridCol w:w="498"/>
        <w:gridCol w:w="687"/>
        <w:gridCol w:w="776"/>
        <w:gridCol w:w="622"/>
        <w:gridCol w:w="770"/>
        <w:gridCol w:w="546"/>
        <w:gridCol w:w="791"/>
        <w:gridCol w:w="609"/>
        <w:gridCol w:w="1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4" w:hRule="atLeast"/>
        </w:trPr>
        <w:tc>
          <w:tcPr>
            <w:tcW w:w="9938"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等线" w:hAnsi="等线" w:eastAsia="等线" w:cs="等线"/>
                <w:b/>
                <w:i w:val="0"/>
                <w:color w:val="auto"/>
                <w:sz w:val="40"/>
                <w:szCs w:val="40"/>
                <w:u w:val="none"/>
              </w:rPr>
            </w:pPr>
            <w:r>
              <w:rPr>
                <w:rFonts w:hint="eastAsia" w:ascii="等线" w:hAnsi="等线" w:eastAsia="等线" w:cs="等线"/>
                <w:b/>
                <w:i w:val="0"/>
                <w:color w:val="auto"/>
                <w:kern w:val="0"/>
                <w:sz w:val="40"/>
                <w:szCs w:val="40"/>
                <w:u w:val="none"/>
                <w:lang w:val="en-US" w:eastAsia="zh-CN" w:bidi="ar"/>
              </w:rPr>
              <w:t xml:space="preserve">综合运行事务项目支出绩效自评表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atLeast"/>
        </w:trPr>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资金(元)</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年初预算数</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全年预算数</w:t>
            </w:r>
          </w:p>
        </w:tc>
        <w:tc>
          <w:tcPr>
            <w:tcW w:w="27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执行数</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分值</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执行率（%）</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9" w:hRule="atLeast"/>
        </w:trPr>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资金：</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3,697,200.00</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3,697,200.00</w:t>
            </w:r>
          </w:p>
        </w:tc>
        <w:tc>
          <w:tcPr>
            <w:tcW w:w="27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3,674,131.69</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 xml:space="preserve">10.00 </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99.38</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4" w:hRule="atLeast"/>
        </w:trPr>
        <w:tc>
          <w:tcPr>
            <w:tcW w:w="38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年度目标</w:t>
            </w:r>
          </w:p>
        </w:tc>
        <w:tc>
          <w:tcPr>
            <w:tcW w:w="609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1" w:hRule="atLeast"/>
        </w:trPr>
        <w:tc>
          <w:tcPr>
            <w:tcW w:w="38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保障单位办公等运转支出，保障单位审判执行任务顺利开展。</w:t>
            </w:r>
          </w:p>
        </w:tc>
        <w:tc>
          <w:tcPr>
            <w:tcW w:w="609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2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一级指标</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二级指标</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三级指标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指标性质</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年度指标值</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度量单位</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实际完成值</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完成率</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分值</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得分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产出指标</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数量指标</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足额支付人员工资</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12</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月</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12</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50.00</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50</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效益指标</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社会效益指标</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协助结案率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80</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91.25</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40.00</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40</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2" w:hRule="atLeast"/>
        </w:trPr>
        <w:tc>
          <w:tcPr>
            <w:tcW w:w="65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合计</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100.00</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99.94</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auto"/>
                <w:sz w:val="22"/>
                <w:szCs w:val="22"/>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eastAsia="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(2)综合运行事务</w:t>
      </w:r>
      <w:r>
        <w:rPr>
          <w:rFonts w:hint="eastAsia" w:ascii="仿宋_GB2312" w:eastAsia="仿宋_GB2312"/>
          <w:color w:val="auto"/>
          <w:sz w:val="32"/>
          <w:szCs w:val="32"/>
        </w:rPr>
        <w:t>项目绩效自评报告：根据年初设定的绩效目标，项目绩效自评得分为</w:t>
      </w:r>
      <w:r>
        <w:rPr>
          <w:rFonts w:hint="eastAsia" w:ascii="仿宋_GB2312" w:eastAsia="仿宋_GB2312"/>
          <w:color w:val="auto"/>
          <w:sz w:val="32"/>
          <w:szCs w:val="32"/>
          <w:lang w:val="en-US" w:eastAsia="zh-CN"/>
        </w:rPr>
        <w:t>99.94</w:t>
      </w:r>
      <w:r>
        <w:rPr>
          <w:rFonts w:hint="eastAsia" w:ascii="仿宋_GB2312" w:eastAsia="仿宋_GB2312"/>
          <w:color w:val="auto"/>
          <w:sz w:val="32"/>
          <w:szCs w:val="32"/>
        </w:rPr>
        <w:t>分。全年预算数为</w:t>
      </w:r>
      <w:r>
        <w:rPr>
          <w:rFonts w:hint="eastAsia" w:ascii="仿宋_GB2312" w:eastAsia="仿宋_GB2312"/>
          <w:color w:val="auto"/>
          <w:sz w:val="32"/>
          <w:szCs w:val="32"/>
          <w:lang w:val="en-US" w:eastAsia="zh-CN"/>
        </w:rPr>
        <w:t>369.72</w:t>
      </w:r>
      <w:r>
        <w:rPr>
          <w:rFonts w:hint="eastAsia" w:ascii="仿宋_GB2312" w:eastAsia="仿宋_GB2312"/>
          <w:color w:val="auto"/>
          <w:sz w:val="32"/>
          <w:szCs w:val="32"/>
        </w:rPr>
        <w:t>万元，执行数为</w:t>
      </w:r>
      <w:r>
        <w:rPr>
          <w:rFonts w:hint="eastAsia" w:ascii="仿宋_GB2312" w:eastAsia="仿宋_GB2312"/>
          <w:color w:val="auto"/>
          <w:sz w:val="32"/>
          <w:szCs w:val="32"/>
          <w:lang w:val="en-US" w:eastAsia="zh-CN"/>
        </w:rPr>
        <w:t>367.41</w:t>
      </w:r>
      <w:r>
        <w:rPr>
          <w:rFonts w:hint="eastAsia" w:ascii="仿宋_GB2312" w:eastAsia="仿宋_GB2312"/>
          <w:color w:val="auto"/>
          <w:sz w:val="32"/>
          <w:szCs w:val="32"/>
        </w:rPr>
        <w:t>万元，完成预算的</w:t>
      </w:r>
      <w:r>
        <w:rPr>
          <w:rFonts w:hint="eastAsia" w:ascii="仿宋_GB2312" w:eastAsia="仿宋_GB2312"/>
          <w:color w:val="auto"/>
          <w:sz w:val="32"/>
          <w:szCs w:val="32"/>
          <w:lang w:val="en-US" w:eastAsia="zh-CN"/>
        </w:rPr>
        <w:t>99.3</w:t>
      </w:r>
      <w:r>
        <w:rPr>
          <w:rFonts w:hint="eastAsia" w:ascii="仿宋_GB2312" w:eastAsia="仿宋_GB2312"/>
          <w:color w:val="auto"/>
          <w:sz w:val="32"/>
          <w:szCs w:val="32"/>
        </w:rPr>
        <w:t>%。项目绩效目标完成情况：一是</w:t>
      </w:r>
      <w:r>
        <w:rPr>
          <w:rFonts w:hint="eastAsia" w:ascii="仿宋_GB2312" w:eastAsia="仿宋_GB2312"/>
          <w:color w:val="auto"/>
          <w:sz w:val="32"/>
          <w:szCs w:val="32"/>
          <w:lang w:eastAsia="zh-CN"/>
        </w:rPr>
        <w:t>该项目已</w:t>
      </w:r>
      <w:r>
        <w:rPr>
          <w:rFonts w:hint="eastAsia" w:ascii="仿宋_GB2312" w:eastAsia="仿宋_GB2312" w:cs="Times New Roman"/>
          <w:b w:val="0"/>
          <w:bCs w:val="0"/>
          <w:color w:val="auto"/>
          <w:kern w:val="2"/>
          <w:sz w:val="32"/>
          <w:szCs w:val="32"/>
          <w:lang w:val="en-US" w:eastAsia="zh-CN" w:bidi="ar-SA"/>
        </w:rPr>
        <w:t>足额支付人员工资12个月，完成了绩效目标</w:t>
      </w:r>
      <w:r>
        <w:rPr>
          <w:rFonts w:hint="eastAsia" w:ascii="仿宋_GB2312" w:eastAsia="仿宋_GB2312"/>
          <w:color w:val="auto"/>
          <w:sz w:val="32"/>
          <w:szCs w:val="32"/>
        </w:rPr>
        <w:t>；二是</w:t>
      </w:r>
      <w:r>
        <w:rPr>
          <w:rFonts w:hint="eastAsia" w:ascii="仿宋_GB2312" w:eastAsia="仿宋_GB2312"/>
          <w:color w:val="auto"/>
          <w:sz w:val="32"/>
          <w:szCs w:val="32"/>
          <w:lang w:eastAsia="zh-CN"/>
        </w:rPr>
        <w:t>该</w:t>
      </w:r>
      <w:r>
        <w:rPr>
          <w:rFonts w:hint="eastAsia" w:ascii="仿宋_GB2312" w:eastAsia="仿宋_GB2312"/>
          <w:color w:val="auto"/>
          <w:sz w:val="32"/>
          <w:szCs w:val="32"/>
        </w:rPr>
        <w:t>项目</w:t>
      </w:r>
      <w:r>
        <w:rPr>
          <w:rFonts w:hint="eastAsia" w:ascii="仿宋_GB2312" w:eastAsia="仿宋_GB2312"/>
          <w:color w:val="auto"/>
          <w:sz w:val="32"/>
          <w:szCs w:val="32"/>
          <w:lang w:eastAsia="zh-CN"/>
        </w:rPr>
        <w:t>已</w:t>
      </w:r>
      <w:r>
        <w:rPr>
          <w:rFonts w:hint="eastAsia" w:ascii="仿宋_GB2312" w:eastAsia="仿宋_GB2312"/>
          <w:color w:val="auto"/>
          <w:sz w:val="32"/>
          <w:szCs w:val="32"/>
        </w:rPr>
        <w:t>协助结案率</w:t>
      </w:r>
      <w:r>
        <w:rPr>
          <w:rFonts w:hint="eastAsia" w:ascii="仿宋_GB2312" w:eastAsia="仿宋_GB2312"/>
          <w:color w:val="auto"/>
          <w:sz w:val="32"/>
          <w:szCs w:val="32"/>
          <w:lang w:eastAsia="zh-CN"/>
        </w:rPr>
        <w:t>达到</w:t>
      </w:r>
      <w:r>
        <w:rPr>
          <w:rFonts w:hint="eastAsia" w:ascii="仿宋_GB2312" w:eastAsia="仿宋_GB2312"/>
          <w:color w:val="auto"/>
          <w:sz w:val="32"/>
          <w:szCs w:val="32"/>
        </w:rPr>
        <w:t>91.25%</w:t>
      </w:r>
      <w:r>
        <w:rPr>
          <w:rFonts w:hint="eastAsia" w:ascii="仿宋_GB2312" w:eastAsia="仿宋_GB2312" w:cs="Times New Roman"/>
          <w:b w:val="0"/>
          <w:bCs w:val="0"/>
          <w:color w:val="auto"/>
          <w:kern w:val="2"/>
          <w:sz w:val="32"/>
          <w:szCs w:val="32"/>
          <w:lang w:val="en-US" w:eastAsia="zh-CN" w:bidi="ar-SA"/>
        </w:rPr>
        <w:t>，完成了绩效目标</w:t>
      </w:r>
      <w:r>
        <w:rPr>
          <w:rFonts w:hint="eastAsia" w:ascii="仿宋_GB2312" w:eastAsia="仿宋_GB2312"/>
          <w:color w:val="auto"/>
          <w:sz w:val="32"/>
          <w:szCs w:val="32"/>
        </w:rPr>
        <w:t>。发现的主要问题及原因：项目支出进度序时性及绩效目标明确性仍不足</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主要由于支出项目需办理相关手续花费一定时间、项目开展时间有延迟以及绩效目标的设定学习不够透彻</w:t>
      </w:r>
      <w:r>
        <w:rPr>
          <w:rFonts w:hint="eastAsia" w:ascii="仿宋_GB2312" w:eastAsia="仿宋_GB2312"/>
          <w:color w:val="auto"/>
          <w:sz w:val="32"/>
          <w:szCs w:val="32"/>
        </w:rPr>
        <w:t>。下一步改进措施：后续我院将在实际预算支出中将更加严格地跟踪项目支出进度，能序时支付的支出将按时支出，需根据事项进度付款的支出将及时跟进项目进展情况，及时付款。并将不断提高项目绩效目标设置质量，制定更加明确直观的绩效目标，以更好地衡量项目绩效完成值，为后续工作提供参考。</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default" w:ascii="仿宋_GB2312" w:eastAsia="仿宋_GB2312"/>
          <w:color w:val="auto"/>
          <w:sz w:val="32"/>
          <w:szCs w:val="32"/>
          <w:lang w:val="en-US"/>
        </w:rPr>
        <w:t>审判法庭大楼配套工程项目</w:t>
      </w:r>
      <w:r>
        <w:rPr>
          <w:rFonts w:hint="eastAsia" w:ascii="仿宋_GB2312" w:eastAsia="仿宋_GB2312"/>
          <w:color w:val="auto"/>
          <w:sz w:val="32"/>
          <w:szCs w:val="32"/>
        </w:rPr>
        <w:t>绩效自评表：</w:t>
      </w:r>
    </w:p>
    <w:tbl>
      <w:tblPr>
        <w:tblStyle w:val="11"/>
        <w:tblW w:w="9736" w:type="dxa"/>
        <w:tblInd w:w="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9"/>
        <w:gridCol w:w="735"/>
        <w:gridCol w:w="1218"/>
        <w:gridCol w:w="693"/>
        <w:gridCol w:w="762"/>
        <w:gridCol w:w="644"/>
        <w:gridCol w:w="697"/>
        <w:gridCol w:w="615"/>
        <w:gridCol w:w="606"/>
        <w:gridCol w:w="658"/>
        <w:gridCol w:w="630"/>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4" w:hRule="atLeast"/>
        </w:trPr>
        <w:tc>
          <w:tcPr>
            <w:tcW w:w="973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等线" w:hAnsi="等线" w:eastAsia="等线" w:cs="等线"/>
                <w:b/>
                <w:i w:val="0"/>
                <w:color w:val="auto"/>
                <w:sz w:val="40"/>
                <w:szCs w:val="40"/>
                <w:u w:val="none"/>
              </w:rPr>
            </w:pPr>
            <w:r>
              <w:rPr>
                <w:rFonts w:hint="eastAsia" w:ascii="等线" w:hAnsi="等线" w:eastAsia="等线" w:cs="等线"/>
                <w:b/>
                <w:i w:val="0"/>
                <w:color w:val="auto"/>
                <w:kern w:val="0"/>
                <w:sz w:val="40"/>
                <w:szCs w:val="40"/>
                <w:u w:val="none"/>
                <w:lang w:val="en-US" w:eastAsia="zh-CN" w:bidi="ar"/>
              </w:rPr>
              <w:t xml:space="preserve">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3" w:hRule="atLeast"/>
        </w:trPr>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资金(元)</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年初预算数</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全年预算数</w:t>
            </w:r>
          </w:p>
        </w:tc>
        <w:tc>
          <w:tcPr>
            <w:tcW w:w="25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执行数</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分值</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执行率（%）</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资金：</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7,490,684.91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7,490,684.91</w:t>
            </w:r>
          </w:p>
        </w:tc>
        <w:tc>
          <w:tcPr>
            <w:tcW w:w="25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7,286,976.17</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 xml:space="preserve">10.00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97.28</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4" w:hRule="atLeast"/>
        </w:trPr>
        <w:tc>
          <w:tcPr>
            <w:tcW w:w="40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年度目标</w:t>
            </w:r>
          </w:p>
        </w:tc>
        <w:tc>
          <w:tcPr>
            <w:tcW w:w="565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9" w:hRule="atLeast"/>
        </w:trPr>
        <w:tc>
          <w:tcPr>
            <w:tcW w:w="40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为了我院审判大楼正常使用</w:t>
            </w:r>
          </w:p>
        </w:tc>
        <w:tc>
          <w:tcPr>
            <w:tcW w:w="565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已完成目标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一级指标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二级指标</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三级指标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指标性质</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年度指标值</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度量单位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实际完成值</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完成率</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分值</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得分</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产出指标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数量指标</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建成面积</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8000</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平方米</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8500</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50.00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50</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效益指标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社会效益指标</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项目受益人数</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300</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auto"/>
                <w:sz w:val="22"/>
                <w:szCs w:val="22"/>
                <w:u w:val="none"/>
                <w:lang w:val="en-US"/>
              </w:rPr>
            </w:pPr>
            <w:r>
              <w:rPr>
                <w:rFonts w:hint="eastAsia" w:ascii="等线" w:hAnsi="等线" w:eastAsia="等线" w:cs="等线"/>
                <w:i w:val="0"/>
                <w:color w:val="auto"/>
                <w:kern w:val="0"/>
                <w:sz w:val="22"/>
                <w:szCs w:val="22"/>
                <w:u w:val="none"/>
                <w:lang w:val="en-US" w:eastAsia="zh-CN" w:bidi="ar"/>
              </w:rPr>
              <w:t>300</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40.00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40</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4" w:hRule="atLeast"/>
        </w:trPr>
        <w:tc>
          <w:tcPr>
            <w:tcW w:w="663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合计</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100.00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99.73</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auto"/>
                <w:sz w:val="22"/>
                <w:szCs w:val="22"/>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(2)</w:t>
      </w:r>
      <w:r>
        <w:rPr>
          <w:rFonts w:hint="default" w:ascii="仿宋_GB2312" w:eastAsia="仿宋_GB2312"/>
          <w:color w:val="auto"/>
          <w:sz w:val="32"/>
          <w:szCs w:val="32"/>
          <w:lang w:val="en-US"/>
        </w:rPr>
        <w:t>审判法庭大楼配套工程</w:t>
      </w:r>
      <w:r>
        <w:rPr>
          <w:rFonts w:hint="eastAsia" w:ascii="仿宋_GB2312" w:eastAsia="仿宋_GB2312"/>
          <w:color w:val="auto"/>
          <w:sz w:val="32"/>
          <w:szCs w:val="32"/>
        </w:rPr>
        <w:t>项目绩效自评报告：根据年初设定的绩效目标，项目绩效自评得分为</w:t>
      </w:r>
      <w:r>
        <w:rPr>
          <w:rFonts w:hint="eastAsia" w:ascii="仿宋_GB2312" w:eastAsia="仿宋_GB2312"/>
          <w:color w:val="auto"/>
          <w:sz w:val="32"/>
          <w:szCs w:val="32"/>
          <w:lang w:val="en-US" w:eastAsia="zh-CN"/>
        </w:rPr>
        <w:t>99.73</w:t>
      </w:r>
      <w:r>
        <w:rPr>
          <w:rFonts w:hint="eastAsia" w:ascii="仿宋_GB2312" w:eastAsia="仿宋_GB2312"/>
          <w:color w:val="auto"/>
          <w:sz w:val="32"/>
          <w:szCs w:val="32"/>
        </w:rPr>
        <w:t>分。全年预算数为</w:t>
      </w:r>
      <w:r>
        <w:rPr>
          <w:rFonts w:hint="eastAsia" w:ascii="仿宋_GB2312" w:eastAsia="仿宋_GB2312"/>
          <w:color w:val="auto"/>
          <w:sz w:val="32"/>
          <w:szCs w:val="32"/>
          <w:lang w:val="en-US" w:eastAsia="zh-CN"/>
        </w:rPr>
        <w:t>749.8</w:t>
      </w:r>
      <w:r>
        <w:rPr>
          <w:rFonts w:hint="eastAsia" w:ascii="仿宋_GB2312" w:eastAsia="仿宋_GB2312"/>
          <w:color w:val="auto"/>
          <w:sz w:val="32"/>
          <w:szCs w:val="32"/>
        </w:rPr>
        <w:t>万元，执行数为</w:t>
      </w:r>
      <w:r>
        <w:rPr>
          <w:rFonts w:hint="eastAsia" w:ascii="仿宋_GB2312" w:eastAsia="仿宋_GB2312"/>
          <w:color w:val="auto"/>
          <w:sz w:val="32"/>
          <w:szCs w:val="32"/>
          <w:lang w:val="en-US" w:eastAsia="zh-CN"/>
        </w:rPr>
        <w:t>749.8</w:t>
      </w:r>
      <w:r>
        <w:rPr>
          <w:rFonts w:hint="eastAsia" w:ascii="仿宋_GB2312" w:eastAsia="仿宋_GB2312"/>
          <w:color w:val="auto"/>
          <w:sz w:val="32"/>
          <w:szCs w:val="32"/>
        </w:rPr>
        <w:t>万元，完成预算的</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%。项目绩效目标完成情况：一是</w:t>
      </w:r>
      <w:r>
        <w:rPr>
          <w:rFonts w:hint="eastAsia" w:ascii="仿宋_GB2312" w:eastAsia="仿宋_GB2312"/>
          <w:color w:val="auto"/>
          <w:sz w:val="32"/>
          <w:szCs w:val="32"/>
          <w:lang w:eastAsia="zh-CN"/>
        </w:rPr>
        <w:t>该项目建成总面积约8500㎡</w:t>
      </w:r>
      <w:r>
        <w:rPr>
          <w:rFonts w:hint="eastAsia" w:ascii="仿宋_GB2312" w:eastAsia="仿宋_GB2312" w:cs="Times New Roman"/>
          <w:b w:val="0"/>
          <w:bCs w:val="0"/>
          <w:color w:val="auto"/>
          <w:kern w:val="2"/>
          <w:sz w:val="32"/>
          <w:szCs w:val="32"/>
          <w:lang w:val="en-US" w:eastAsia="zh-CN" w:bidi="ar-SA"/>
        </w:rPr>
        <w:t>，完成了绩效目标</w:t>
      </w:r>
      <w:r>
        <w:rPr>
          <w:rFonts w:hint="eastAsia" w:ascii="仿宋_GB2312" w:eastAsia="仿宋_GB2312"/>
          <w:color w:val="auto"/>
          <w:sz w:val="32"/>
          <w:szCs w:val="32"/>
        </w:rPr>
        <w:t>；二是</w:t>
      </w:r>
      <w:r>
        <w:rPr>
          <w:rFonts w:hint="eastAsia" w:ascii="仿宋_GB2312" w:eastAsia="仿宋_GB2312"/>
          <w:color w:val="auto"/>
          <w:sz w:val="32"/>
          <w:szCs w:val="32"/>
          <w:lang w:eastAsia="zh-CN"/>
        </w:rPr>
        <w:t>该</w:t>
      </w:r>
      <w:r>
        <w:rPr>
          <w:rFonts w:hint="eastAsia" w:ascii="仿宋_GB2312" w:eastAsia="仿宋_GB2312"/>
          <w:color w:val="auto"/>
          <w:sz w:val="32"/>
          <w:szCs w:val="32"/>
        </w:rPr>
        <w:t>项目</w:t>
      </w:r>
      <w:r>
        <w:rPr>
          <w:rFonts w:hint="eastAsia" w:ascii="仿宋_GB2312" w:cs="Times New Roman"/>
          <w:b w:val="0"/>
          <w:bCs w:val="0"/>
          <w:color w:val="auto"/>
          <w:kern w:val="2"/>
          <w:sz w:val="32"/>
          <w:szCs w:val="32"/>
          <w:lang w:val="en-US" w:eastAsia="zh-CN" w:bidi="ar-SA"/>
        </w:rPr>
        <w:t>受益人数约376人</w:t>
      </w:r>
      <w:r>
        <w:rPr>
          <w:rFonts w:hint="eastAsia" w:ascii="仿宋_GB2312" w:eastAsia="仿宋_GB2312" w:cs="Times New Roman"/>
          <w:b w:val="0"/>
          <w:bCs w:val="0"/>
          <w:color w:val="auto"/>
          <w:kern w:val="2"/>
          <w:sz w:val="32"/>
          <w:szCs w:val="32"/>
          <w:lang w:val="en-US" w:eastAsia="zh-CN" w:bidi="ar-SA"/>
        </w:rPr>
        <w:t>，完成了绩效目标</w:t>
      </w:r>
      <w:r>
        <w:rPr>
          <w:rFonts w:hint="eastAsia" w:ascii="仿宋_GB2312" w:eastAsia="仿宋_GB2312"/>
          <w:color w:val="auto"/>
          <w:sz w:val="32"/>
          <w:szCs w:val="32"/>
        </w:rPr>
        <w:t>。发现的主要问题及原因：绩效目标设置的全面性及明确性仍不足</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主要由于绩效目标的设定学习不够透彻</w:t>
      </w:r>
      <w:r>
        <w:rPr>
          <w:rFonts w:hint="eastAsia" w:ascii="仿宋_GB2312" w:eastAsia="仿宋_GB2312"/>
          <w:color w:val="auto"/>
          <w:sz w:val="32"/>
          <w:szCs w:val="32"/>
        </w:rPr>
        <w:t>。下一步改进措施：后续我院将根据实际工作需要，不断优化项目绩效目标，使项目绩效目标更全面体现项目预期目标，制定更加明确直观的绩效目标，以更好地测评出预算项目使用绩效。</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（1）执法办案</w:t>
      </w:r>
      <w:r>
        <w:rPr>
          <w:rFonts w:hint="default" w:ascii="仿宋_GB2312" w:eastAsia="仿宋_GB2312"/>
          <w:color w:val="auto"/>
          <w:sz w:val="32"/>
          <w:szCs w:val="32"/>
          <w:lang w:val="en-US"/>
        </w:rPr>
        <w:t>项目</w:t>
      </w:r>
      <w:r>
        <w:rPr>
          <w:rFonts w:hint="eastAsia" w:ascii="仿宋_GB2312" w:eastAsia="仿宋_GB2312"/>
          <w:color w:val="auto"/>
          <w:sz w:val="32"/>
          <w:szCs w:val="32"/>
        </w:rPr>
        <w:t>绩效自评表：</w:t>
      </w:r>
    </w:p>
    <w:tbl>
      <w:tblPr>
        <w:tblStyle w:val="11"/>
        <w:tblW w:w="8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1"/>
        <w:gridCol w:w="501"/>
        <w:gridCol w:w="1334"/>
        <w:gridCol w:w="585"/>
        <w:gridCol w:w="804"/>
        <w:gridCol w:w="842"/>
        <w:gridCol w:w="481"/>
        <w:gridCol w:w="849"/>
        <w:gridCol w:w="768"/>
        <w:gridCol w:w="658"/>
        <w:gridCol w:w="630"/>
        <w:gridCol w:w="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3" w:hRule="atLeast"/>
        </w:trPr>
        <w:tc>
          <w:tcPr>
            <w:tcW w:w="884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等线" w:hAnsi="等线" w:eastAsia="等线" w:cs="等线"/>
                <w:b/>
                <w:i w:val="0"/>
                <w:color w:val="auto"/>
                <w:sz w:val="40"/>
                <w:szCs w:val="40"/>
                <w:u w:val="none"/>
              </w:rPr>
            </w:pPr>
            <w:r>
              <w:rPr>
                <w:rFonts w:hint="eastAsia" w:ascii="等线" w:hAnsi="等线" w:eastAsia="等线" w:cs="等线"/>
                <w:b/>
                <w:i w:val="0"/>
                <w:color w:val="auto"/>
                <w:kern w:val="0"/>
                <w:sz w:val="40"/>
                <w:szCs w:val="40"/>
                <w:u w:val="none"/>
                <w:lang w:val="en-US" w:eastAsia="zh-CN" w:bidi="ar"/>
              </w:rPr>
              <w:t xml:space="preserve">执法办案业务项目支出绩效自评表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4" w:hRule="atLeast"/>
        </w:trPr>
        <w:tc>
          <w:tcPr>
            <w:tcW w:w="10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资金(元)</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年初预算数</w:t>
            </w: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全年预算数</w:t>
            </w:r>
          </w:p>
        </w:tc>
        <w:tc>
          <w:tcPr>
            <w:tcW w:w="29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执行数</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分值</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执行率（%）</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10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资金：</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10,560,909.32</w:t>
            </w: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13,655,643.32</w:t>
            </w:r>
          </w:p>
        </w:tc>
        <w:tc>
          <w:tcPr>
            <w:tcW w:w="29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13,600,299.32</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 xml:space="preserve">10.00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99.59</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3" w:hRule="atLeast"/>
        </w:trPr>
        <w:tc>
          <w:tcPr>
            <w:tcW w:w="37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年度目标</w:t>
            </w:r>
          </w:p>
        </w:tc>
        <w:tc>
          <w:tcPr>
            <w:tcW w:w="511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8" w:hRule="atLeast"/>
        </w:trPr>
        <w:tc>
          <w:tcPr>
            <w:tcW w:w="37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为法院审判执行工作服务，提供良好资金保障。</w:t>
            </w:r>
          </w:p>
        </w:tc>
        <w:tc>
          <w:tcPr>
            <w:tcW w:w="511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3"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一级指标</w:t>
            </w:r>
          </w:p>
        </w:tc>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二级指标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三级指标</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指标性质</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年度指标值</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度量单位</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实际完成值</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完成率</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分值</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得分</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2"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产出指标</w:t>
            </w:r>
          </w:p>
        </w:tc>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数量指标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案卷扫描页数</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1250000</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张</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3090745</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100.00%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30.00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30</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2"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产出指标</w:t>
            </w:r>
          </w:p>
        </w:tc>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数量指标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陪审员补助支持案件数</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5000</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件</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5100</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100.00%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30.00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30</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3"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效益指标</w:t>
            </w:r>
          </w:p>
        </w:tc>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社会效益指标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结案率</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80</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91.25</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100.00%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30.00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30</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666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合计</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100.00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99.96</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auto"/>
                <w:sz w:val="22"/>
                <w:szCs w:val="22"/>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（2）执法办案</w:t>
      </w:r>
      <w:r>
        <w:rPr>
          <w:rFonts w:hint="eastAsia" w:ascii="仿宋_GB2312" w:eastAsia="仿宋_GB2312"/>
          <w:color w:val="auto"/>
          <w:sz w:val="32"/>
          <w:szCs w:val="32"/>
        </w:rPr>
        <w:t>项目绩效自评报告：根据年初设定的绩效目标，项目绩效自评得分为</w:t>
      </w:r>
      <w:r>
        <w:rPr>
          <w:rFonts w:hint="eastAsia" w:ascii="仿宋_GB2312" w:eastAsia="仿宋_GB2312"/>
          <w:color w:val="auto"/>
          <w:sz w:val="32"/>
          <w:szCs w:val="32"/>
          <w:lang w:val="en-US" w:eastAsia="zh-CN"/>
        </w:rPr>
        <w:t>99.96</w:t>
      </w:r>
      <w:r>
        <w:rPr>
          <w:rFonts w:hint="eastAsia" w:ascii="仿宋_GB2312" w:eastAsia="仿宋_GB2312"/>
          <w:color w:val="auto"/>
          <w:sz w:val="32"/>
          <w:szCs w:val="32"/>
        </w:rPr>
        <w:t>分。全年预算数为</w:t>
      </w:r>
      <w:r>
        <w:rPr>
          <w:rFonts w:hint="eastAsia" w:ascii="仿宋_GB2312" w:eastAsia="仿宋_GB2312"/>
          <w:color w:val="auto"/>
          <w:sz w:val="32"/>
          <w:szCs w:val="32"/>
          <w:lang w:val="en-US" w:eastAsia="zh-CN"/>
        </w:rPr>
        <w:t>1365.56</w:t>
      </w:r>
      <w:r>
        <w:rPr>
          <w:rFonts w:hint="eastAsia" w:ascii="仿宋_GB2312" w:eastAsia="仿宋_GB2312"/>
          <w:color w:val="auto"/>
          <w:sz w:val="32"/>
          <w:szCs w:val="32"/>
        </w:rPr>
        <w:t>万元，执行数为</w:t>
      </w:r>
      <w:r>
        <w:rPr>
          <w:rFonts w:hint="eastAsia" w:ascii="仿宋_GB2312" w:eastAsia="仿宋_GB2312"/>
          <w:color w:val="auto"/>
          <w:sz w:val="32"/>
          <w:szCs w:val="32"/>
          <w:lang w:val="en-US" w:eastAsia="zh-CN"/>
        </w:rPr>
        <w:t>1360.02</w:t>
      </w:r>
      <w:r>
        <w:rPr>
          <w:rFonts w:hint="eastAsia" w:ascii="仿宋_GB2312" w:eastAsia="仿宋_GB2312"/>
          <w:color w:val="auto"/>
          <w:sz w:val="32"/>
          <w:szCs w:val="32"/>
        </w:rPr>
        <w:t>万元，完成预算的</w:t>
      </w:r>
      <w:r>
        <w:rPr>
          <w:rFonts w:hint="eastAsia" w:ascii="仿宋_GB2312" w:eastAsia="仿宋_GB2312"/>
          <w:color w:val="auto"/>
          <w:sz w:val="32"/>
          <w:szCs w:val="32"/>
          <w:lang w:val="en-US" w:eastAsia="zh-CN"/>
        </w:rPr>
        <w:t>99.5</w:t>
      </w:r>
      <w:r>
        <w:rPr>
          <w:rFonts w:hint="eastAsia" w:ascii="仿宋_GB2312" w:eastAsia="仿宋_GB2312"/>
          <w:color w:val="auto"/>
          <w:sz w:val="32"/>
          <w:szCs w:val="32"/>
        </w:rPr>
        <w:t>%。项目绩效目标完成情况：一是</w:t>
      </w:r>
      <w:r>
        <w:rPr>
          <w:rFonts w:hint="eastAsia" w:ascii="仿宋_GB2312" w:eastAsia="仿宋_GB2312"/>
          <w:color w:val="auto"/>
          <w:sz w:val="32"/>
          <w:szCs w:val="32"/>
          <w:lang w:eastAsia="zh-CN"/>
        </w:rPr>
        <w:t>该项目案卷扫描页数3090745页</w:t>
      </w:r>
      <w:r>
        <w:rPr>
          <w:rFonts w:hint="eastAsia" w:ascii="仿宋_GB2312" w:eastAsia="仿宋_GB2312" w:cs="Times New Roman"/>
          <w:b w:val="0"/>
          <w:bCs w:val="0"/>
          <w:color w:val="auto"/>
          <w:kern w:val="2"/>
          <w:sz w:val="32"/>
          <w:szCs w:val="32"/>
          <w:lang w:val="en-US" w:eastAsia="zh-CN" w:bidi="ar-SA"/>
        </w:rPr>
        <w:t>，完成了绩效目标</w:t>
      </w:r>
      <w:r>
        <w:rPr>
          <w:rFonts w:hint="eastAsia" w:ascii="仿宋_GB2312" w:eastAsia="仿宋_GB2312"/>
          <w:color w:val="auto"/>
          <w:sz w:val="32"/>
          <w:szCs w:val="32"/>
        </w:rPr>
        <w:t>；二是</w:t>
      </w:r>
      <w:r>
        <w:rPr>
          <w:rFonts w:hint="eastAsia" w:ascii="仿宋_GB2312" w:eastAsia="仿宋_GB2312"/>
          <w:color w:val="auto"/>
          <w:sz w:val="32"/>
          <w:szCs w:val="32"/>
          <w:lang w:eastAsia="zh-CN"/>
        </w:rPr>
        <w:t>该</w:t>
      </w:r>
      <w:r>
        <w:rPr>
          <w:rFonts w:hint="eastAsia" w:ascii="仿宋_GB2312" w:eastAsia="仿宋_GB2312"/>
          <w:color w:val="auto"/>
          <w:sz w:val="32"/>
          <w:szCs w:val="32"/>
        </w:rPr>
        <w:t>项目</w:t>
      </w:r>
      <w:r>
        <w:rPr>
          <w:rFonts w:hint="eastAsia" w:ascii="仿宋_GB2312" w:eastAsia="仿宋_GB2312"/>
          <w:color w:val="auto"/>
          <w:sz w:val="32"/>
          <w:szCs w:val="32"/>
          <w:lang w:val="en-US" w:eastAsia="zh-CN"/>
        </w:rPr>
        <w:t>陪审员补助支持案件数5100件，</w:t>
      </w:r>
      <w:r>
        <w:rPr>
          <w:rFonts w:hint="eastAsia" w:ascii="仿宋_GB2312" w:eastAsia="仿宋_GB2312" w:cs="Times New Roman"/>
          <w:b w:val="0"/>
          <w:bCs w:val="0"/>
          <w:color w:val="auto"/>
          <w:kern w:val="2"/>
          <w:sz w:val="32"/>
          <w:szCs w:val="32"/>
          <w:lang w:val="en-US" w:eastAsia="zh-CN" w:bidi="ar-SA"/>
        </w:rPr>
        <w:t>完成了绩效目标；三是结案率91.25%，完成了绩效目标</w:t>
      </w:r>
      <w:r>
        <w:rPr>
          <w:rFonts w:hint="eastAsia" w:ascii="仿宋_GB2312" w:eastAsia="仿宋_GB2312"/>
          <w:color w:val="auto"/>
          <w:sz w:val="32"/>
          <w:szCs w:val="32"/>
        </w:rPr>
        <w:t>。发现的主要问题及原因：项目支出进度序时性及绩效目标科学性仍有欠缺</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主要因为支出项目需办理相关手续花费一定时间、项目开展时间有延迟以及绩效目标的设定学习不够透彻</w:t>
      </w:r>
      <w:r>
        <w:rPr>
          <w:rFonts w:hint="eastAsia" w:ascii="仿宋_GB2312" w:eastAsia="仿宋_GB2312"/>
          <w:color w:val="auto"/>
          <w:sz w:val="32"/>
          <w:szCs w:val="32"/>
        </w:rPr>
        <w:t>。下一步改进措施：今后我院将在预算下达后，及时向负责相关支出项目的处室传达预算下达情况，并研究年度支出规划，及时跟进规划执行情况，达到支付条件的项目及时支出。日常干警个人支出项目，将严格报销时限，督促干警及时报销支出。由于该项目是我院办案支出，故绩效目标应更加体现支出产生的办案效果，故今后将优化绩效目标，使之能更加体现项目支出对于案件审判执行的支撑效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（三）部门评价结果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0"/>
          <w:sz w:val="32"/>
          <w:szCs w:val="32"/>
          <w:lang w:eastAsia="zh-CN" w:bidi="ar"/>
        </w:rPr>
      </w:pPr>
      <w:r>
        <w:rPr>
          <w:rFonts w:hint="eastAsia" w:ascii="仿宋_GB2312" w:hAnsi="仿宋_GB2312" w:eastAsia="仿宋_GB2312" w:cs="仿宋_GB2312"/>
          <w:color w:val="auto"/>
          <w:kern w:val="0"/>
          <w:sz w:val="32"/>
          <w:szCs w:val="32"/>
          <w:lang w:eastAsia="zh-CN" w:bidi="ar"/>
        </w:rPr>
        <w:t>我院对执法办案</w:t>
      </w:r>
      <w:r>
        <w:rPr>
          <w:rFonts w:hint="eastAsia" w:ascii="仿宋_GB2312" w:hAnsi="仿宋_GB2312" w:eastAsia="仿宋_GB2312" w:cs="仿宋_GB2312"/>
          <w:color w:val="auto"/>
          <w:kern w:val="0"/>
          <w:sz w:val="32"/>
          <w:szCs w:val="32"/>
          <w:lang w:val="en-US" w:eastAsia="zh-CN" w:bidi="ar"/>
        </w:rPr>
        <w:t>业务</w:t>
      </w:r>
      <w:r>
        <w:rPr>
          <w:rFonts w:hint="eastAsia" w:ascii="仿宋_GB2312" w:hAnsi="仿宋_GB2312" w:eastAsia="仿宋_GB2312" w:cs="仿宋_GB2312"/>
          <w:color w:val="auto"/>
          <w:kern w:val="0"/>
          <w:sz w:val="32"/>
          <w:szCs w:val="32"/>
          <w:lang w:eastAsia="zh-CN" w:bidi="ar"/>
        </w:rPr>
        <w:t>项目开展了</w:t>
      </w:r>
      <w:r>
        <w:rPr>
          <w:rFonts w:hint="eastAsia" w:ascii="仿宋_GB2312" w:hAnsi="仿宋_GB2312" w:eastAsia="仿宋_GB2312" w:cs="仿宋_GB2312"/>
          <w:color w:val="auto"/>
          <w:kern w:val="0"/>
          <w:sz w:val="32"/>
          <w:szCs w:val="32"/>
          <w:lang w:bidi="ar"/>
        </w:rPr>
        <w:t>部门评价</w:t>
      </w:r>
      <w:r>
        <w:rPr>
          <w:rFonts w:hint="eastAsia" w:ascii="仿宋_GB2312" w:hAnsi="仿宋_GB2312" w:eastAsia="仿宋_GB2312" w:cs="仿宋_GB2312"/>
          <w:color w:val="auto"/>
          <w:kern w:val="0"/>
          <w:sz w:val="32"/>
          <w:szCs w:val="32"/>
          <w:lang w:eastAsia="zh-CN" w:bidi="ar"/>
        </w:rPr>
        <w:t>，其评价结果如下：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lang w:val="en-US" w:eastAsia="zh-CN" w:bidi="ar"/>
        </w:rPr>
      </w:pPr>
      <w:r>
        <w:rPr>
          <w:rFonts w:hint="eastAsia" w:ascii="仿宋_GB2312" w:eastAsia="仿宋_GB2312"/>
          <w:color w:val="auto"/>
          <w:sz w:val="32"/>
          <w:szCs w:val="32"/>
          <w:lang w:val="en-US" w:eastAsia="zh-CN"/>
        </w:rPr>
        <w:t>该项目绩效部门评价为优，该项目皆用于案件审判执行支出，项目预算执行情况为99.5%，</w:t>
      </w:r>
      <w:r>
        <w:rPr>
          <w:rFonts w:hint="eastAsia" w:ascii="仿宋_GB2312" w:eastAsia="仿宋_GB2312"/>
          <w:color w:val="auto"/>
          <w:sz w:val="32"/>
          <w:szCs w:val="32"/>
          <w:lang w:val="en-US" w:eastAsia="zh-CN" w:bidi="ar"/>
        </w:rPr>
        <w:t>达到了预订的绩效目标。项目总体运行情况良好，我院根据财政等相关制度支出资金，为案件审判执行提供了资金保障，评价情况详见附件2。</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财政评价结果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zh-CN"/>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rPr>
        <w:t>十一</w:t>
      </w:r>
      <w:r>
        <w:rPr>
          <w:rFonts w:hint="eastAsia" w:ascii="黑体" w:hAnsi="黑体" w:eastAsia="黑体" w:cs="黑体"/>
          <w:bCs/>
          <w:color w:val="auto"/>
          <w:sz w:val="32"/>
          <w:szCs w:val="32"/>
          <w:highlight w:val="none"/>
        </w:rPr>
        <w:t>、其他重要事项情况说明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highlight w:val="none"/>
        </w:rPr>
      </w:pPr>
      <w:bookmarkStart w:id="95" w:name="_Toc15262_WPSOffice_Level2"/>
      <w:bookmarkStart w:id="96" w:name="_Toc23598_WPSOffice_Level2"/>
      <w:bookmarkStart w:id="97" w:name="_Toc15565_WPSOffice_Level2"/>
      <w:bookmarkStart w:id="98" w:name="_Toc32639_WPSOffice_Level2"/>
      <w:bookmarkStart w:id="99" w:name="_Toc5978_WPSOffice_Level2"/>
      <w:bookmarkStart w:id="100" w:name="_Toc18325_WPSOffice_Level2"/>
      <w:r>
        <w:rPr>
          <w:rFonts w:hint="eastAsia" w:ascii="楷体" w:hAnsi="楷体" w:eastAsia="楷体" w:cs="楷体"/>
          <w:bCs/>
          <w:color w:val="auto"/>
          <w:sz w:val="32"/>
          <w:szCs w:val="32"/>
          <w:highlight w:val="none"/>
        </w:rPr>
        <w:t>（一）机关运行经费支出情况</w:t>
      </w:r>
      <w:bookmarkEnd w:id="95"/>
      <w:bookmarkEnd w:id="96"/>
      <w:bookmarkEnd w:id="97"/>
      <w:bookmarkEnd w:id="98"/>
      <w:bookmarkEnd w:id="99"/>
      <w:bookmarkEnd w:id="10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w:t>
      </w:r>
      <w:r>
        <w:rPr>
          <w:rFonts w:hint="eastAsia" w:ascii="仿宋_GB2312" w:hAnsi="ˎ̥" w:eastAsia="仿宋_GB2312"/>
          <w:color w:val="auto"/>
          <w:sz w:val="32"/>
          <w:szCs w:val="32"/>
          <w:lang w:val="en-US" w:eastAsia="zh-CN"/>
        </w:rPr>
        <w:t>三亚市城郊人民法院本级</w:t>
      </w:r>
      <w:r>
        <w:rPr>
          <w:rFonts w:hint="eastAsia" w:ascii="仿宋_GB2312" w:hAnsi="ˎ̥" w:eastAsia="仿宋_GB2312"/>
          <w:color w:val="auto"/>
          <w:sz w:val="32"/>
          <w:szCs w:val="32"/>
        </w:rPr>
        <w:t>部门机关运行经费</w:t>
      </w:r>
      <w:r>
        <w:rPr>
          <w:rFonts w:hint="eastAsia" w:ascii="仿宋_GB2312" w:hAnsi="ˎ̥" w:eastAsia="仿宋_GB2312"/>
          <w:color w:val="auto"/>
          <w:sz w:val="32"/>
          <w:szCs w:val="32"/>
          <w:lang w:val="en-US" w:eastAsia="zh-CN"/>
        </w:rPr>
        <w:t>858.43</w:t>
      </w:r>
      <w:r>
        <w:rPr>
          <w:rFonts w:hint="eastAsia" w:ascii="仿宋_GB2312" w:hAnsi="ˎ̥" w:eastAsia="仿宋_GB2312"/>
          <w:color w:val="auto"/>
          <w:sz w:val="32"/>
          <w:szCs w:val="32"/>
        </w:rPr>
        <w:t>万元，比年初预算</w:t>
      </w:r>
      <w:r>
        <w:rPr>
          <w:rFonts w:hint="eastAsia" w:ascii="仿宋_GB2312" w:hAnsi="ˎ̥" w:eastAsia="仿宋_GB2312"/>
          <w:color w:val="auto"/>
          <w:sz w:val="32"/>
          <w:szCs w:val="32"/>
          <w:lang w:val="en-US" w:eastAsia="zh-CN"/>
        </w:rPr>
        <w:t>801.73万元</w:t>
      </w:r>
      <w:r>
        <w:rPr>
          <w:rFonts w:hint="eastAsia" w:ascii="仿宋_GB2312" w:hAnsi="ˎ̥" w:eastAsia="仿宋_GB2312"/>
          <w:color w:val="auto"/>
          <w:sz w:val="32"/>
          <w:szCs w:val="32"/>
        </w:rPr>
        <w:t>增加</w:t>
      </w:r>
      <w:r>
        <w:rPr>
          <w:rFonts w:hint="eastAsia" w:ascii="仿宋_GB2312" w:hAnsi="ˎ̥" w:eastAsia="仿宋_GB2312"/>
          <w:color w:val="auto"/>
          <w:sz w:val="32"/>
          <w:szCs w:val="32"/>
          <w:lang w:val="en-US" w:eastAsia="zh-CN"/>
        </w:rPr>
        <w:t>56.7</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完成预算的107</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lang w:val="en-US" w:eastAsia="zh-CN"/>
        </w:rPr>
        <w:t>与2023年度相比，机关运行经费</w:t>
      </w:r>
      <w:r>
        <w:rPr>
          <w:rFonts w:hint="eastAsia" w:ascii="仿宋_GB2312" w:hAnsi="ˎ̥" w:eastAsia="仿宋_GB2312"/>
          <w:color w:val="auto"/>
          <w:sz w:val="32"/>
          <w:szCs w:val="32"/>
        </w:rPr>
        <w:t>增加</w:t>
      </w:r>
      <w:r>
        <w:rPr>
          <w:rFonts w:hint="eastAsia" w:ascii="仿宋_GB2312" w:hAnsi="ˎ̥" w:eastAsia="仿宋_GB2312"/>
          <w:color w:val="auto"/>
          <w:sz w:val="32"/>
          <w:szCs w:val="32"/>
          <w:lang w:val="en-US" w:eastAsia="zh-CN"/>
        </w:rPr>
        <w:t>122.45</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lang w:val="en-US" w:eastAsia="zh-CN"/>
        </w:rPr>
        <w:t>增长16.6%。</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val="en-US" w:eastAsia="zh-CN"/>
        </w:rPr>
        <w:t>由于案件量多，办理案件数增加，故相应的办案支出及相关支出也增加</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bookmarkStart w:id="101" w:name="_Toc25333_WPSOffice_Level2"/>
      <w:bookmarkStart w:id="102" w:name="_Toc23966_WPSOffice_Level2"/>
      <w:bookmarkStart w:id="103" w:name="_Toc13084_WPSOffice_Level2"/>
      <w:bookmarkStart w:id="104" w:name="_Toc32689_WPSOffice_Level2"/>
      <w:bookmarkStart w:id="105" w:name="_Toc3131_WPSOffice_Level2"/>
      <w:bookmarkStart w:id="106" w:name="_Toc30383_WPSOffice_Level2"/>
      <w:r>
        <w:rPr>
          <w:rFonts w:hint="eastAsia" w:ascii="楷体" w:hAnsi="楷体" w:eastAsia="楷体" w:cs="楷体"/>
          <w:bCs/>
          <w:color w:val="auto"/>
          <w:sz w:val="32"/>
          <w:szCs w:val="32"/>
        </w:rPr>
        <w:t>（二）政府采购支出情况</w:t>
      </w:r>
      <w:bookmarkEnd w:id="101"/>
      <w:bookmarkEnd w:id="102"/>
      <w:bookmarkEnd w:id="103"/>
      <w:bookmarkEnd w:id="104"/>
      <w:bookmarkEnd w:id="105"/>
      <w:bookmarkEnd w:id="106"/>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w:t>
      </w:r>
      <w:r>
        <w:rPr>
          <w:rFonts w:hint="eastAsia" w:ascii="仿宋_GB2312" w:hAnsi="ˎ̥" w:eastAsia="仿宋_GB2312"/>
          <w:color w:val="auto"/>
          <w:sz w:val="32"/>
          <w:szCs w:val="32"/>
          <w:lang w:eastAsia="zh-CN"/>
        </w:rPr>
        <w:t>三亚市城郊人民法院</w:t>
      </w:r>
      <w:r>
        <w:rPr>
          <w:rFonts w:hint="eastAsia" w:ascii="仿宋_GB2312" w:hAnsi="ˎ̥" w:eastAsia="仿宋_GB2312"/>
          <w:color w:val="auto"/>
          <w:sz w:val="32"/>
          <w:szCs w:val="32"/>
          <w:lang w:val="en-US" w:eastAsia="zh-CN"/>
        </w:rPr>
        <w:t>本级</w:t>
      </w:r>
      <w:r>
        <w:rPr>
          <w:rFonts w:hint="eastAsia" w:ascii="仿宋_GB2312" w:hAnsi="ˎ̥" w:eastAsia="仿宋_GB2312"/>
          <w:color w:val="auto"/>
          <w:sz w:val="32"/>
          <w:szCs w:val="32"/>
        </w:rPr>
        <w:t>部门政府采购支出总额</w:t>
      </w:r>
      <w:r>
        <w:rPr>
          <w:rFonts w:hint="eastAsia" w:ascii="仿宋_GB2312" w:hAnsi="ˎ̥" w:eastAsia="仿宋_GB2312"/>
          <w:color w:val="auto"/>
          <w:sz w:val="32"/>
          <w:szCs w:val="32"/>
          <w:lang w:val="en-US" w:eastAsia="zh-CN"/>
        </w:rPr>
        <w:t>660.31</w:t>
      </w:r>
      <w:r>
        <w:rPr>
          <w:rFonts w:hint="eastAsia" w:ascii="仿宋_GB2312" w:hAnsi="ˎ̥" w:eastAsia="仿宋_GB2312"/>
          <w:color w:val="auto"/>
          <w:sz w:val="32"/>
          <w:szCs w:val="32"/>
        </w:rPr>
        <w:t>万元，其中：政府采购货物支出</w:t>
      </w:r>
      <w:r>
        <w:rPr>
          <w:rFonts w:hint="eastAsia" w:ascii="仿宋_GB2312" w:hAnsi="ˎ̥" w:eastAsia="仿宋_GB2312"/>
          <w:color w:val="auto"/>
          <w:sz w:val="32"/>
          <w:szCs w:val="32"/>
          <w:lang w:val="en-US" w:eastAsia="zh-CN"/>
        </w:rPr>
        <w:t>121.18</w:t>
      </w:r>
      <w:r>
        <w:rPr>
          <w:rFonts w:hint="eastAsia" w:ascii="仿宋_GB2312" w:hAnsi="ˎ̥" w:eastAsia="仿宋_GB2312"/>
          <w:color w:val="auto"/>
          <w:sz w:val="32"/>
          <w:szCs w:val="32"/>
        </w:rPr>
        <w:t>万元、政府采购服务支出</w:t>
      </w:r>
      <w:r>
        <w:rPr>
          <w:rFonts w:hint="eastAsia" w:ascii="仿宋_GB2312" w:hAnsi="ˎ̥" w:eastAsia="仿宋_GB2312"/>
          <w:color w:val="auto"/>
          <w:sz w:val="32"/>
          <w:szCs w:val="32"/>
          <w:lang w:val="en-US" w:eastAsia="zh-CN"/>
        </w:rPr>
        <w:t>539.13</w:t>
      </w:r>
      <w:r>
        <w:rPr>
          <w:rFonts w:hint="eastAsia" w:ascii="仿宋_GB2312" w:hAnsi="ˎ̥" w:eastAsia="仿宋_GB2312"/>
          <w:color w:val="auto"/>
          <w:sz w:val="32"/>
          <w:szCs w:val="32"/>
        </w:rPr>
        <w:t>万元。授予中小企业合同金额</w:t>
      </w:r>
      <w:r>
        <w:rPr>
          <w:rFonts w:hint="eastAsia" w:ascii="仿宋_GB2312" w:hAnsi="ˎ̥" w:eastAsia="仿宋_GB2312"/>
          <w:color w:val="auto"/>
          <w:sz w:val="32"/>
          <w:szCs w:val="32"/>
          <w:lang w:val="en-US" w:eastAsia="zh-CN"/>
        </w:rPr>
        <w:t>660.31</w:t>
      </w:r>
      <w:r>
        <w:rPr>
          <w:rFonts w:hint="eastAsia" w:ascii="仿宋_GB2312" w:hAnsi="ˎ̥" w:eastAsia="仿宋_GB2312"/>
          <w:color w:val="auto"/>
          <w:sz w:val="32"/>
          <w:szCs w:val="32"/>
        </w:rPr>
        <w:t>万元，占政府采购支出总额的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%，其中：授予小微企业合同金额</w:t>
      </w:r>
      <w:r>
        <w:rPr>
          <w:rFonts w:hint="eastAsia" w:ascii="仿宋_GB2312" w:hAnsi="ˎ̥" w:eastAsia="仿宋_GB2312"/>
          <w:color w:val="auto"/>
          <w:sz w:val="32"/>
          <w:szCs w:val="32"/>
          <w:lang w:val="en-US" w:eastAsia="zh-CN"/>
        </w:rPr>
        <w:t>35</w:t>
      </w:r>
      <w:r>
        <w:rPr>
          <w:rFonts w:hint="eastAsia" w:ascii="仿宋_GB2312" w:hAnsi="ˎ̥" w:eastAsia="仿宋_GB2312"/>
          <w:color w:val="auto"/>
          <w:sz w:val="32"/>
          <w:szCs w:val="32"/>
        </w:rPr>
        <w:t>万元，占</w:t>
      </w:r>
      <w:r>
        <w:rPr>
          <w:rFonts w:hint="eastAsia" w:ascii="仿宋_GB2312" w:hAnsi="仿宋_GB2312" w:eastAsia="仿宋_GB2312" w:cs="仿宋_GB2312"/>
          <w:color w:val="auto"/>
          <w:kern w:val="0"/>
          <w:sz w:val="32"/>
          <w:szCs w:val="32"/>
          <w:lang w:bidi="ar"/>
        </w:rPr>
        <w:t>授予中小企业合同金额</w:t>
      </w:r>
      <w:r>
        <w:rPr>
          <w:rFonts w:hint="eastAsia" w:ascii="仿宋_GB2312" w:hAnsi="仿宋_GB2312" w:eastAsia="仿宋_GB2312" w:cs="仿宋_GB2312"/>
          <w:color w:val="auto"/>
          <w:sz w:val="32"/>
          <w:szCs w:val="32"/>
        </w:rPr>
        <w:t>的</w:t>
      </w:r>
      <w:r>
        <w:rPr>
          <w:rFonts w:hint="eastAsia" w:ascii="仿宋_GB2312" w:hAnsi="ˎ̥" w:eastAsia="仿宋_GB2312"/>
          <w:color w:val="auto"/>
          <w:sz w:val="32"/>
          <w:szCs w:val="32"/>
          <w:lang w:val="en-US" w:eastAsia="zh-CN"/>
        </w:rPr>
        <w:t>625.31</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bookmarkStart w:id="107" w:name="_Toc6016_WPSOffice_Level2"/>
      <w:bookmarkStart w:id="108" w:name="_Toc29584_WPSOffice_Level2"/>
      <w:bookmarkStart w:id="109" w:name="_Toc19989_WPSOffice_Level2"/>
      <w:bookmarkStart w:id="110" w:name="_Toc10902_WPSOffice_Level2"/>
      <w:bookmarkStart w:id="111" w:name="_Toc15129_WPSOffice_Level2"/>
      <w:bookmarkStart w:id="112" w:name="_Toc527_WPSOffice_Level2"/>
      <w:r>
        <w:rPr>
          <w:rFonts w:hint="eastAsia" w:ascii="楷体" w:hAnsi="楷体" w:eastAsia="楷体" w:cs="楷体"/>
          <w:bCs/>
          <w:color w:val="auto"/>
          <w:sz w:val="32"/>
          <w:szCs w:val="32"/>
        </w:rPr>
        <w:t>（三）国有资产占用情况</w:t>
      </w:r>
      <w:bookmarkEnd w:id="107"/>
      <w:bookmarkEnd w:id="108"/>
      <w:bookmarkEnd w:id="109"/>
      <w:bookmarkEnd w:id="110"/>
      <w:bookmarkEnd w:id="111"/>
      <w:bookmarkEnd w:id="112"/>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bCs/>
          <w:color w:val="auto"/>
          <w:sz w:val="32"/>
          <w:szCs w:val="32"/>
        </w:rPr>
        <w:t>截至</w:t>
      </w:r>
      <w:r>
        <w:rPr>
          <w:rFonts w:hint="default" w:ascii="仿宋_GB2312" w:hAnsi="ˎ̥" w:eastAsia="仿宋_GB2312"/>
          <w:bCs/>
          <w:color w:val="auto"/>
          <w:sz w:val="32"/>
          <w:szCs w:val="32"/>
          <w:lang w:val="en-US"/>
        </w:rPr>
        <w:t>2024</w:t>
      </w:r>
      <w:r>
        <w:rPr>
          <w:rFonts w:hint="eastAsia" w:ascii="仿宋_GB2312" w:hAnsi="ˎ̥" w:eastAsia="仿宋_GB2312"/>
          <w:bCs/>
          <w:color w:val="auto"/>
          <w:sz w:val="32"/>
          <w:szCs w:val="32"/>
        </w:rPr>
        <w:t>年12月31日，本部门拥</w:t>
      </w:r>
      <w:r>
        <w:rPr>
          <w:rFonts w:hint="eastAsia" w:ascii="仿宋_GB2312" w:hAnsi="ˎ̥" w:eastAsia="仿宋_GB2312"/>
          <w:bCs/>
          <w:color w:val="auto"/>
          <w:sz w:val="32"/>
          <w:szCs w:val="32"/>
          <w:highlight w:val="none"/>
        </w:rPr>
        <w:t>有</w:t>
      </w:r>
      <w:r>
        <w:rPr>
          <w:rFonts w:hint="eastAsia" w:ascii="仿宋_GB2312" w:hAnsi="ˎ̥" w:eastAsia="仿宋_GB2312"/>
          <w:color w:val="auto"/>
          <w:sz w:val="32"/>
          <w:szCs w:val="32"/>
          <w:highlight w:val="none"/>
        </w:rPr>
        <w:t>房屋面</w:t>
      </w:r>
      <w:r>
        <w:rPr>
          <w:rFonts w:hint="eastAsia" w:ascii="仿宋_GB2312" w:hAnsi="ˎ̥" w:eastAsia="仿宋_GB2312"/>
          <w:color w:val="auto"/>
          <w:sz w:val="32"/>
          <w:szCs w:val="32"/>
        </w:rPr>
        <w:t>积</w:t>
      </w:r>
      <w:r>
        <w:rPr>
          <w:rFonts w:hint="eastAsia" w:ascii="仿宋_GB2312" w:hAnsi="ˎ̥" w:eastAsia="仿宋_GB2312"/>
          <w:color w:val="auto"/>
          <w:sz w:val="32"/>
          <w:szCs w:val="32"/>
          <w:lang w:val="en-US" w:eastAsia="zh-CN"/>
        </w:rPr>
        <w:t>21556</w:t>
      </w:r>
      <w:r>
        <w:rPr>
          <w:rFonts w:hint="eastAsia" w:ascii="仿宋_GB2312" w:hAnsi="ˎ̥" w:eastAsia="仿宋_GB2312"/>
          <w:color w:val="auto"/>
          <w:sz w:val="32"/>
          <w:szCs w:val="32"/>
        </w:rPr>
        <w:t>平方米</w:t>
      </w:r>
      <w:r>
        <w:rPr>
          <w:rFonts w:hint="eastAsia" w:ascii="仿宋_GB2312" w:hAnsi="ˎ̥"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color w:val="auto"/>
          <w:sz w:val="32"/>
          <w:szCs w:val="32"/>
          <w:lang w:val="en-US" w:eastAsia="zh-CN"/>
        </w:rPr>
      </w:pPr>
      <w:r>
        <w:rPr>
          <w:rFonts w:hint="eastAsia" w:ascii="仿宋_GB2312" w:hAnsi="ˎ̥" w:eastAsia="仿宋_GB2312"/>
          <w:color w:val="auto"/>
          <w:sz w:val="32"/>
          <w:szCs w:val="32"/>
        </w:rPr>
        <w:t>本部门共有车辆</w:t>
      </w:r>
      <w:r>
        <w:rPr>
          <w:rFonts w:hint="eastAsia" w:ascii="仿宋_GB2312" w:hAnsi="ˎ̥" w:eastAsia="仿宋_GB2312"/>
          <w:color w:val="auto"/>
          <w:sz w:val="32"/>
          <w:szCs w:val="32"/>
          <w:lang w:val="en-US" w:eastAsia="zh-CN"/>
        </w:rPr>
        <w:t>17</w:t>
      </w:r>
      <w:r>
        <w:rPr>
          <w:rFonts w:hint="eastAsia" w:ascii="仿宋_GB2312" w:hAnsi="ˎ̥" w:eastAsia="仿宋_GB2312"/>
          <w:color w:val="auto"/>
          <w:sz w:val="32"/>
          <w:szCs w:val="32"/>
        </w:rPr>
        <w:t>辆，其中，机要通信用车</w:t>
      </w:r>
      <w:r>
        <w:rPr>
          <w:rFonts w:hint="eastAsia" w:ascii="仿宋_GB2312" w:hAnsi="ˎ̥" w:eastAsia="仿宋_GB2312"/>
          <w:color w:val="auto"/>
          <w:sz w:val="32"/>
          <w:szCs w:val="32"/>
          <w:lang w:val="en-US" w:eastAsia="zh-CN"/>
        </w:rPr>
        <w:t>1</w:t>
      </w:r>
      <w:r>
        <w:rPr>
          <w:rFonts w:hint="eastAsia" w:ascii="仿宋_GB2312" w:hAnsi="ˎ̥" w:eastAsia="仿宋_GB2312"/>
          <w:color w:val="auto"/>
          <w:sz w:val="32"/>
          <w:szCs w:val="32"/>
        </w:rPr>
        <w:t>辆、应急保障用车</w:t>
      </w:r>
      <w:r>
        <w:rPr>
          <w:rFonts w:hint="eastAsia" w:ascii="仿宋_GB2312" w:hAnsi="ˎ̥" w:eastAsia="仿宋_GB2312"/>
          <w:color w:val="auto"/>
          <w:sz w:val="32"/>
          <w:szCs w:val="32"/>
          <w:lang w:val="en-US" w:eastAsia="zh-CN"/>
        </w:rPr>
        <w:t>2</w:t>
      </w:r>
      <w:r>
        <w:rPr>
          <w:rFonts w:hint="eastAsia" w:ascii="仿宋_GB2312" w:hAnsi="ˎ̥" w:eastAsia="仿宋_GB2312"/>
          <w:color w:val="auto"/>
          <w:sz w:val="32"/>
          <w:szCs w:val="32"/>
        </w:rPr>
        <w:t>辆、执法执勤用车</w:t>
      </w:r>
      <w:r>
        <w:rPr>
          <w:rFonts w:hint="eastAsia" w:ascii="仿宋_GB2312" w:hAnsi="ˎ̥" w:eastAsia="仿宋_GB2312"/>
          <w:color w:val="auto"/>
          <w:sz w:val="32"/>
          <w:szCs w:val="32"/>
          <w:lang w:val="en-US" w:eastAsia="zh-CN"/>
        </w:rPr>
        <w:t>12</w:t>
      </w:r>
      <w:r>
        <w:rPr>
          <w:rFonts w:hint="eastAsia" w:ascii="仿宋_GB2312" w:hAnsi="ˎ̥" w:eastAsia="仿宋_GB2312"/>
          <w:color w:val="auto"/>
          <w:sz w:val="32"/>
          <w:szCs w:val="32"/>
        </w:rPr>
        <w:t>辆、特种专业技术用车</w:t>
      </w:r>
      <w:r>
        <w:rPr>
          <w:rFonts w:hint="eastAsia" w:ascii="仿宋_GB2312" w:hAnsi="ˎ̥" w:eastAsia="仿宋_GB2312"/>
          <w:color w:val="auto"/>
          <w:sz w:val="32"/>
          <w:szCs w:val="32"/>
          <w:lang w:val="en-US" w:eastAsia="zh-CN"/>
        </w:rPr>
        <w:t>2</w:t>
      </w:r>
      <w:r>
        <w:rPr>
          <w:rFonts w:hint="eastAsia" w:ascii="仿宋_GB2312" w:hAnsi="ˎ̥" w:eastAsia="仿宋_GB2312"/>
          <w:color w:val="auto"/>
          <w:sz w:val="32"/>
          <w:szCs w:val="32"/>
        </w:rPr>
        <w:t>辆。</w:t>
      </w:r>
      <w:r>
        <w:rPr>
          <w:rFonts w:hint="eastAsia" w:ascii="仿宋_GB2312" w:hAnsi="ˎ̥" w:eastAsia="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单价100万元（含）以上设备（不含车辆）</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台（套）。</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bookmarkStart w:id="113" w:name="_Toc15425_WPSOffice_Level1"/>
      <w:bookmarkStart w:id="114" w:name="_Toc17580_WPSOffice_Level1"/>
      <w:bookmarkStart w:id="115" w:name="_Toc8874_WPSOffice_Level1"/>
      <w:bookmarkStart w:id="116" w:name="_Toc11039_WPSOffice_Level1"/>
      <w:bookmarkStart w:id="117" w:name="_Toc8808_WPSOffice_Level1"/>
      <w:bookmarkStart w:id="118" w:name="_Toc4398_WPSOffice_Level1"/>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r>
        <w:rPr>
          <w:rFonts w:hint="eastAsia" w:ascii="黑体" w:hAnsi="ˎ̥" w:eastAsia="黑体"/>
          <w:color w:val="auto"/>
          <w:sz w:val="32"/>
          <w:szCs w:val="32"/>
        </w:rPr>
        <w:t>第四部分  名词解释</w:t>
      </w:r>
      <w:bookmarkEnd w:id="113"/>
      <w:bookmarkEnd w:id="114"/>
      <w:bookmarkEnd w:id="115"/>
      <w:bookmarkEnd w:id="116"/>
      <w:bookmarkEnd w:id="117"/>
      <w:bookmarkEnd w:id="118"/>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p>
    <w:p>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财政拨款收入：指同级政府财政部门当年拨付的各类财政拨款。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二、上级补助收入：指事业单位从主管部门和上级单位取得的非财政补助收入。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三、事业收入：指事业单位开展专业业务活动及辅助活动取得的收入。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四、经营收入：指事业单位在专业业务活动及其辅助活动之外开展非独立核算经营活动取得的收入。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五、附属单位上缴收入：指事业单位取得附属独立核算单位根据有关规定上缴的收入。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六、其他收入：指除上述“财政拨款收入”“事业收入”“上级补助收入”“经营收入”“附属单位上缴收入”等以外的收入。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七、使用非财政拨款结余：指事业单位在当年的“财政拨款收入”“事业收入”“经营收入”“其他收入”等不足以安排当年支出的情况下，使用非同级财政拨款结余资金弥补本年度收支缺口。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八、年初结转和结余：指以前年度尚未完成、结转到本年按有关规定继续使用的资金，或项目已完成等产生的结余资金。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九、结余分配：指事业单位缴纳企业所得税以及从非财政拨款结余或经营结余中提取各类结余的情况。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十、年末结转和结余：指本年度或以前年度预算安排、因客观条件发生变化无法按原计划实施，需要延迟到以后年度按有关规定继续使用的资金（不包括事业单位非财政拨款结余和专用结余）。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十一、基本支出：指为保障机构正常运转、完成日常工作任务而发生的人员支出和公用支出。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十二、项目支出：指在基本支出之外为完成特定行政任务和事业发展目标所发生的支出。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十三、经营支出：指事业单位在专业业务活动及其辅助活动之外开展非独立核算经营活动发生的支出。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color w:val="auto"/>
          <w:sz w:val="32"/>
          <w:szCs w:val="32"/>
        </w:rPr>
      </w:pPr>
      <w:r>
        <w:rPr>
          <w:rFonts w:hint="eastAsia" w:ascii="仿宋_GB2312" w:hAnsi="ˎ̥" w:eastAsia="仿宋_GB2312"/>
          <w:color w:val="auto"/>
          <w:sz w:val="32"/>
          <w:szCs w:val="32"/>
        </w:rPr>
        <w:t>十六、</w:t>
      </w:r>
      <w:r>
        <w:rPr>
          <w:rFonts w:ascii="仿宋_GB2312" w:hAnsi="ˎ̥" w:eastAsia="仿宋_GB2312"/>
          <w:color w:val="auto"/>
          <w:sz w:val="32"/>
          <w:szCs w:val="32"/>
        </w:rPr>
        <w:t>支出功能分类：</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lang w:eastAsia="zh-CN"/>
        </w:rPr>
      </w:pPr>
      <w:r>
        <w:rPr>
          <w:rFonts w:hint="eastAsia" w:ascii="仿宋_GB2312" w:hAnsi="ˎ̥" w:eastAsia="仿宋_GB2312"/>
          <w:color w:val="auto"/>
          <w:sz w:val="32"/>
          <w:szCs w:val="32"/>
        </w:rPr>
        <w:t>公共安全支出（类）法院（款）行政运行（项）：指人民法院用于保障机构正常运行、开展日常工作的基本支出</w:t>
      </w:r>
      <w:r>
        <w:rPr>
          <w:rFonts w:hint="eastAsia" w:ascii="仿宋_GB2312" w:hAnsi="ˎ̥"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lang w:val="en-US" w:eastAsia="zh-CN"/>
        </w:rPr>
        <w:t>公共安全支出（类）法院（款）一般行政事务管理（项）：反映行政单位（包括实行公务员管理的事业单位）未单独设置项级科目的其他项目支出;</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default" w:ascii="仿宋_GB2312" w:hAnsi="ˎ̥" w:eastAsia="仿宋_GB2312"/>
          <w:color w:val="auto"/>
          <w:sz w:val="32"/>
          <w:szCs w:val="32"/>
          <w:lang w:val="en-US" w:eastAsia="zh-CN"/>
        </w:rPr>
      </w:pPr>
      <w:r>
        <w:rPr>
          <w:rFonts w:hint="default" w:ascii="仿宋_GB2312" w:hAnsi="ˎ̥" w:eastAsia="仿宋_GB2312"/>
          <w:color w:val="auto"/>
          <w:sz w:val="32"/>
          <w:szCs w:val="32"/>
          <w:lang w:val="en-US" w:eastAsia="zh-CN"/>
        </w:rPr>
        <w:t>公共安全支出（类）法院（款）案件审判（项）：指反映人民法院对刑事、民事、行政、涉外等案件审判活动的支出;</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lang w:eastAsia="zh-CN"/>
        </w:rPr>
      </w:pPr>
      <w:r>
        <w:rPr>
          <w:rFonts w:hint="eastAsia" w:ascii="仿宋_GB2312" w:hAnsi="ˎ̥" w:eastAsia="仿宋_GB2312"/>
          <w:color w:val="auto"/>
          <w:sz w:val="32"/>
          <w:szCs w:val="32"/>
        </w:rPr>
        <w:t>公共安全支出（类）法院（款）“两庭”建设（项）：指反映人民法院审判用房、人民法庭用房、刑场建设维修和设备购置，以及审判庭安全监控设备购置及运行管理等支出</w:t>
      </w:r>
      <w:r>
        <w:rPr>
          <w:rFonts w:hint="eastAsia" w:ascii="仿宋_GB2312" w:hAnsi="ˎ̥"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lang w:eastAsia="zh-CN"/>
        </w:rPr>
      </w:pPr>
      <w:r>
        <w:rPr>
          <w:rFonts w:hint="eastAsia" w:ascii="仿宋_GB2312" w:hAnsi="ˎ̥" w:eastAsia="仿宋_GB2312"/>
          <w:color w:val="auto"/>
          <w:sz w:val="32"/>
          <w:szCs w:val="32"/>
        </w:rPr>
        <w:t>公共安全支出（类）法院（款）其他法院支出（项）：指反映除上述项目以外其他用于法院方面的公共安全支出</w:t>
      </w:r>
      <w:r>
        <w:rPr>
          <w:rFonts w:hint="eastAsia" w:ascii="仿宋_GB2312" w:hAnsi="ˎ̥"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lang w:eastAsia="zh-CN"/>
        </w:rPr>
      </w:pPr>
      <w:r>
        <w:rPr>
          <w:rFonts w:hint="eastAsia" w:ascii="仿宋_GB2312" w:hAnsi="ˎ̥" w:eastAsia="仿宋_GB2312"/>
          <w:color w:val="auto"/>
          <w:sz w:val="32"/>
          <w:szCs w:val="32"/>
        </w:rPr>
        <w:t>社会保障和就业支出（类）行政事业单位养老支出（款）机关事业单位基本养老保险缴费支出（项）：指反映机关事业单位实施养老保险制度由单位缴纳的基本养老保险费支出</w:t>
      </w:r>
      <w:r>
        <w:rPr>
          <w:rFonts w:hint="eastAsia" w:ascii="仿宋_GB2312" w:hAnsi="ˎ̥"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lang w:eastAsia="zh-CN"/>
        </w:rPr>
      </w:pPr>
      <w:r>
        <w:rPr>
          <w:rFonts w:hint="eastAsia" w:ascii="仿宋_GB2312" w:hAnsi="ˎ̥" w:eastAsia="仿宋_GB2312"/>
          <w:color w:val="auto"/>
          <w:sz w:val="32"/>
          <w:szCs w:val="32"/>
        </w:rPr>
        <w:t>社会保障和就业支出（类）行政事业单位养老支出（款）机关事业单位职业年金缴费支出（项）：指反映机关事业单位实施养老保险制度由单位实际缴纳的职业年金支出</w:t>
      </w:r>
      <w:r>
        <w:rPr>
          <w:rFonts w:hint="eastAsia" w:ascii="仿宋_GB2312" w:hAnsi="ˎ̥"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lang w:eastAsia="zh-CN"/>
        </w:rPr>
      </w:pPr>
      <w:r>
        <w:rPr>
          <w:rFonts w:hint="eastAsia" w:ascii="仿宋_GB2312" w:hAnsi="ˎ̥" w:eastAsia="仿宋_GB2312"/>
          <w:color w:val="auto"/>
          <w:sz w:val="32"/>
          <w:szCs w:val="32"/>
        </w:rPr>
        <w:t>社会保障和就业支出（类）抚恤（款）其他优抚支出（项）：指反映其他用于优抚方面的支出</w:t>
      </w:r>
      <w:r>
        <w:rPr>
          <w:rFonts w:hint="eastAsia" w:ascii="仿宋_GB2312" w:hAnsi="ˎ̥"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rPr>
        <w:t>卫生健康支出（类）行政事业单位医疗（款）行政单位医疗（项）：指反映财政部门集中安排的行政单位基本医疗保险缴费经费，未参加医疗保险的行政单位的公费医疗经费，按国家规定享受离休人员、红军老战士待遇人员的医疗经费</w:t>
      </w:r>
      <w:r>
        <w:rPr>
          <w:rFonts w:hint="eastAsia" w:ascii="仿宋_GB2312" w:hAnsi="ˎ̥"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卫生健康支出（类）行政事业单位医疗（款）公务员医疗补助（项）：指反映财政部门集中安排的公务员医疗补助经费。</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lang w:eastAsia="zh-CN"/>
        </w:rPr>
      </w:pPr>
      <w:r>
        <w:rPr>
          <w:rFonts w:hint="eastAsia" w:ascii="仿宋_GB2312" w:hAnsi="ˎ̥" w:eastAsia="仿宋_GB2312"/>
          <w:color w:val="auto"/>
          <w:sz w:val="32"/>
          <w:szCs w:val="32"/>
        </w:rPr>
        <w:t>住房保障支出（类）住房改革支出（款）住房公积金（项）：指反映行政事业单位按人力资源和社会保障部、财政部规定的基本工资和津贴补贴以及规定比例为职工缴纳的住房公积金</w:t>
      </w:r>
      <w:r>
        <w:rPr>
          <w:rFonts w:hint="eastAsia" w:ascii="仿宋_GB2312" w:hAnsi="ˎ̥"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eastAsia="仿宋_GB2312"/>
          <w:color w:val="auto"/>
          <w:sz w:val="32"/>
          <w:szCs w:val="32"/>
          <w:lang w:val="en-US" w:eastAsia="zh-CN"/>
        </w:rPr>
      </w:pPr>
      <w:r>
        <w:rPr>
          <w:rFonts w:hint="eastAsia" w:ascii="仿宋_GB2312" w:hAnsi="ˎ̥" w:eastAsia="仿宋_GB2312"/>
          <w:color w:val="auto"/>
          <w:sz w:val="32"/>
          <w:szCs w:val="32"/>
          <w:lang w:val="en-US" w:eastAsia="zh-CN"/>
        </w:rPr>
        <w:t xml:space="preserve">     附件：2.</w:t>
      </w:r>
      <w:r>
        <w:rPr>
          <w:rFonts w:hint="eastAsia" w:ascii="仿宋_GB2312" w:eastAsia="仿宋_GB2312"/>
          <w:color w:val="auto"/>
          <w:sz w:val="32"/>
          <w:szCs w:val="32"/>
          <w:lang w:val="en-US" w:eastAsia="zh-CN"/>
        </w:rPr>
        <w:t>执法办案业务项目部门评价报告</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ˎ̥" w:eastAsia="仿宋_GB2312"/>
          <w:color w:val="auto"/>
          <w:sz w:val="32"/>
          <w:szCs w:val="32"/>
          <w:lang w:val="en-US" w:eastAsia="zh-CN"/>
        </w:rPr>
      </w:pPr>
      <w:r>
        <w:rPr>
          <w:rFonts w:hint="eastAsia" w:ascii="仿宋_GB2312" w:hAnsi="ˎ̥" w:eastAsia="仿宋_GB2312"/>
          <w:color w:val="auto"/>
          <w:sz w:val="32"/>
          <w:szCs w:val="32"/>
          <w:lang w:val="en-US" w:eastAsia="zh-CN"/>
        </w:rPr>
        <w:t>附件2：</w:t>
      </w:r>
    </w:p>
    <w:p>
      <w:pPr>
        <w:spacing w:before="167" w:line="218" w:lineRule="auto"/>
        <w:ind w:firstLine="2169" w:firstLineChars="500"/>
        <w:jc w:val="both"/>
        <w:outlineLvl w:val="0"/>
        <w:rPr>
          <w:rFonts w:ascii="宋体" w:hAnsi="宋体" w:eastAsia="宋体" w:cs="宋体"/>
          <w:color w:val="auto"/>
          <w:sz w:val="44"/>
          <w:szCs w:val="44"/>
        </w:rPr>
      </w:pPr>
      <w:r>
        <w:rPr>
          <w:rFonts w:hint="eastAsia" w:ascii="宋体" w:hAnsi="宋体" w:eastAsia="宋体" w:cs="宋体"/>
          <w:b/>
          <w:bCs/>
          <w:color w:val="auto"/>
          <w:spacing w:val="-4"/>
          <w:sz w:val="44"/>
          <w:szCs w:val="44"/>
        </w:rPr>
        <w:t>执法办案</w:t>
      </w:r>
      <w:r>
        <w:rPr>
          <w:rFonts w:hint="eastAsia" w:ascii="宋体" w:hAnsi="宋体" w:eastAsia="宋体" w:cs="宋体"/>
          <w:b/>
          <w:bCs/>
          <w:color w:val="auto"/>
          <w:spacing w:val="-4"/>
          <w:sz w:val="44"/>
          <w:szCs w:val="44"/>
          <w:lang w:val="en-US" w:eastAsia="zh-CN"/>
        </w:rPr>
        <w:t>业务</w:t>
      </w:r>
      <w:r>
        <w:rPr>
          <w:rFonts w:ascii="宋体" w:hAnsi="宋体" w:eastAsia="宋体" w:cs="宋体"/>
          <w:b/>
          <w:bCs/>
          <w:color w:val="auto"/>
          <w:spacing w:val="-4"/>
          <w:sz w:val="44"/>
          <w:szCs w:val="44"/>
        </w:rPr>
        <w:t>项目绩效评价报告</w:t>
      </w:r>
    </w:p>
    <w:p>
      <w:pPr>
        <w:pStyle w:val="3"/>
        <w:spacing w:line="249" w:lineRule="auto"/>
        <w:jc w:val="both"/>
        <w:rPr>
          <w:color w:val="auto"/>
        </w:rPr>
      </w:pPr>
    </w:p>
    <w:p>
      <w:pPr>
        <w:spacing w:before="88" w:line="221" w:lineRule="auto"/>
        <w:rPr>
          <w:rFonts w:ascii="黑体" w:hAnsi="黑体" w:eastAsia="黑体" w:cs="黑体"/>
          <w:b/>
          <w:bCs/>
          <w:color w:val="auto"/>
          <w:spacing w:val="15"/>
          <w:sz w:val="27"/>
          <w:szCs w:val="27"/>
        </w:rPr>
      </w:pPr>
      <w:r>
        <w:rPr>
          <w:rFonts w:ascii="黑体" w:hAnsi="黑体" w:eastAsia="黑体" w:cs="黑体"/>
          <w:b/>
          <w:bCs/>
          <w:color w:val="auto"/>
          <w:spacing w:val="15"/>
          <w:sz w:val="27"/>
          <w:szCs w:val="27"/>
        </w:rPr>
        <w:t>绩效评价结果：</w:t>
      </w:r>
    </w:p>
    <w:tbl>
      <w:tblPr>
        <w:tblStyle w:val="11"/>
        <w:tblpPr w:leftFromText="180" w:rightFromText="180" w:vertAnchor="text" w:horzAnchor="page" w:tblpX="1049" w:tblpY="332"/>
        <w:tblOverlap w:val="never"/>
        <w:tblW w:w="9934" w:type="dxa"/>
        <w:tblInd w:w="0" w:type="dxa"/>
        <w:tblLayout w:type="fixed"/>
        <w:tblCellMar>
          <w:top w:w="0" w:type="dxa"/>
          <w:left w:w="85" w:type="dxa"/>
          <w:bottom w:w="0" w:type="dxa"/>
          <w:right w:w="85" w:type="dxa"/>
        </w:tblCellMar>
      </w:tblPr>
      <w:tblGrid>
        <w:gridCol w:w="2575"/>
        <w:gridCol w:w="1488"/>
        <w:gridCol w:w="1560"/>
        <w:gridCol w:w="1356"/>
        <w:gridCol w:w="1536"/>
        <w:gridCol w:w="1419"/>
      </w:tblGrid>
      <w:tr>
        <w:tblPrEx>
          <w:tblCellMar>
            <w:top w:w="0" w:type="dxa"/>
            <w:left w:w="85" w:type="dxa"/>
            <w:bottom w:w="0" w:type="dxa"/>
            <w:right w:w="85" w:type="dxa"/>
          </w:tblCellMar>
        </w:tblPrEx>
        <w:trPr>
          <w:trHeight w:val="444" w:hRule="atLeast"/>
        </w:trPr>
        <w:tc>
          <w:tcPr>
            <w:tcW w:w="9934" w:type="dxa"/>
            <w:gridSpan w:val="6"/>
            <w:tcBorders>
              <w:top w:val="single" w:color="000000" w:sz="4" w:space="0"/>
              <w:left w:val="single" w:color="000000" w:sz="4" w:space="0"/>
              <w:bottom w:val="single" w:color="000000" w:sz="4" w:space="0"/>
              <w:right w:val="single" w:color="000000" w:sz="4" w:space="0"/>
            </w:tcBorders>
            <w:vAlign w:val="center"/>
          </w:tcPr>
          <w:p>
            <w:pPr>
              <w:widowControl/>
              <w:spacing w:before="124" w:beforeLines="40" w:after="124" w:afterLines="40"/>
              <w:rPr>
                <w:rFonts w:ascii="宋体" w:hAnsi="宋体" w:cs="宋体"/>
                <w:color w:val="auto"/>
                <w:kern w:val="0"/>
                <w:szCs w:val="21"/>
              </w:rPr>
            </w:pPr>
            <w:r>
              <w:rPr>
                <w:rFonts w:hint="eastAsia" w:ascii="宋体" w:hAnsi="宋体" w:cs="宋体"/>
                <w:b/>
                <w:bCs/>
                <w:color w:val="auto"/>
                <w:kern w:val="0"/>
                <w:szCs w:val="21"/>
              </w:rPr>
              <w:t>一、项目基本情况</w:t>
            </w:r>
          </w:p>
        </w:tc>
      </w:tr>
      <w:tr>
        <w:tblPrEx>
          <w:tblCellMar>
            <w:top w:w="0" w:type="dxa"/>
            <w:left w:w="85" w:type="dxa"/>
            <w:bottom w:w="0" w:type="dxa"/>
            <w:right w:w="85" w:type="dxa"/>
          </w:tblCellMar>
        </w:tblPrEx>
        <w:trPr>
          <w:trHeight w:val="738" w:hRule="atLeast"/>
        </w:trPr>
        <w:tc>
          <w:tcPr>
            <w:tcW w:w="2575" w:type="dxa"/>
            <w:tcBorders>
              <w:top w:val="single" w:color="000000" w:sz="4" w:space="0"/>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宋体" w:hAnsi="宋体" w:cs="宋体"/>
                <w:color w:val="auto"/>
                <w:kern w:val="0"/>
                <w:szCs w:val="21"/>
              </w:rPr>
            </w:pPr>
            <w:r>
              <w:rPr>
                <w:rFonts w:hint="eastAsia" w:ascii="宋体" w:hAnsi="宋体" w:cs="宋体"/>
                <w:color w:val="auto"/>
                <w:kern w:val="0"/>
                <w:szCs w:val="21"/>
              </w:rPr>
              <w:t>项目类型</w:t>
            </w:r>
          </w:p>
        </w:tc>
        <w:tc>
          <w:tcPr>
            <w:tcW w:w="7359" w:type="dxa"/>
            <w:gridSpan w:val="5"/>
            <w:tcBorders>
              <w:top w:val="single" w:color="000000" w:sz="4" w:space="0"/>
              <w:left w:val="nil"/>
              <w:bottom w:val="single" w:color="000000" w:sz="4" w:space="0"/>
              <w:right w:val="single" w:color="000000" w:sz="4" w:space="0"/>
            </w:tcBorders>
            <w:vAlign w:val="center"/>
          </w:tcPr>
          <w:p>
            <w:pPr>
              <w:widowControl/>
              <w:spacing w:before="124" w:beforeLines="40" w:after="124" w:afterLines="40"/>
              <w:jc w:val="center"/>
              <w:rPr>
                <w:rFonts w:ascii="宋体" w:hAnsi="宋体" w:cs="宋体"/>
                <w:color w:val="auto"/>
                <w:kern w:val="0"/>
                <w:szCs w:val="21"/>
              </w:rPr>
            </w:pPr>
            <w:r>
              <w:rPr>
                <w:rFonts w:hint="eastAsia" w:ascii="宋体" w:hAnsi="宋体" w:cs="宋体"/>
                <w:color w:val="auto"/>
                <w:kern w:val="0"/>
                <w:szCs w:val="21"/>
              </w:rPr>
              <w:t xml:space="preserve">经常性项目（ </w:t>
            </w:r>
            <w:r>
              <w:rPr>
                <w:rFonts w:hint="eastAsia" w:ascii="宋体" w:hAnsi="宋体"/>
                <w:color w:val="auto"/>
                <w:sz w:val="24"/>
              </w:rPr>
              <w:t>√</w:t>
            </w:r>
            <w:r>
              <w:rPr>
                <w:rFonts w:hint="eastAsia" w:ascii="宋体" w:hAnsi="宋体" w:cs="宋体"/>
                <w:color w:val="auto"/>
                <w:kern w:val="0"/>
                <w:szCs w:val="21"/>
              </w:rPr>
              <w:t xml:space="preserve"> ）       一次性项目（  ）</w:t>
            </w:r>
          </w:p>
        </w:tc>
      </w:tr>
      <w:tr>
        <w:tblPrEx>
          <w:tblCellMar>
            <w:top w:w="0" w:type="dxa"/>
            <w:left w:w="85" w:type="dxa"/>
            <w:bottom w:w="0" w:type="dxa"/>
            <w:right w:w="85" w:type="dxa"/>
          </w:tblCellMar>
        </w:tblPrEx>
        <w:trPr>
          <w:trHeight w:val="1026" w:hRule="atLeast"/>
        </w:trPr>
        <w:tc>
          <w:tcPr>
            <w:tcW w:w="2575" w:type="dxa"/>
            <w:tcBorders>
              <w:top w:val="single" w:color="000000" w:sz="4" w:space="0"/>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宋体" w:hAnsi="宋体" w:cs="宋体"/>
                <w:color w:val="auto"/>
                <w:kern w:val="0"/>
                <w:szCs w:val="21"/>
              </w:rPr>
            </w:pPr>
            <w:r>
              <w:rPr>
                <w:rFonts w:hint="eastAsia" w:ascii="宋体" w:hAnsi="宋体" w:cs="宋体"/>
                <w:color w:val="auto"/>
                <w:kern w:val="0"/>
                <w:szCs w:val="21"/>
              </w:rPr>
              <w:t>计划投资额</w:t>
            </w:r>
          </w:p>
          <w:p>
            <w:pPr>
              <w:widowControl/>
              <w:spacing w:before="124" w:beforeLines="40" w:after="124" w:afterLines="40"/>
              <w:jc w:val="center"/>
              <w:rPr>
                <w:rFonts w:ascii="宋体" w:hAnsi="宋体" w:cs="宋体"/>
                <w:color w:val="auto"/>
                <w:kern w:val="0"/>
                <w:szCs w:val="21"/>
              </w:rPr>
            </w:pPr>
            <w:r>
              <w:rPr>
                <w:rFonts w:hint="eastAsia" w:ascii="宋体" w:hAnsi="宋体" w:cs="宋体"/>
                <w:color w:val="auto"/>
                <w:kern w:val="0"/>
                <w:szCs w:val="21"/>
              </w:rPr>
              <w:t>（万元）</w:t>
            </w:r>
          </w:p>
        </w:tc>
        <w:tc>
          <w:tcPr>
            <w:tcW w:w="1488" w:type="dxa"/>
            <w:tcBorders>
              <w:top w:val="single" w:color="000000" w:sz="4" w:space="0"/>
              <w:left w:val="nil"/>
              <w:bottom w:val="single" w:color="000000" w:sz="4" w:space="0"/>
              <w:right w:val="single" w:color="000000" w:sz="4" w:space="0"/>
            </w:tcBorders>
            <w:vAlign w:val="center"/>
          </w:tcPr>
          <w:p>
            <w:pPr>
              <w:widowControl/>
              <w:spacing w:before="124" w:beforeLines="40" w:after="124" w:afterLines="40"/>
              <w:jc w:val="center"/>
              <w:rPr>
                <w:rFonts w:ascii="宋体" w:hAnsi="宋体"/>
                <w:color w:val="auto"/>
              </w:rPr>
            </w:pPr>
            <w:r>
              <w:rPr>
                <w:rFonts w:hint="eastAsia" w:ascii="宋体" w:hAnsi="宋体"/>
                <w:color w:val="auto"/>
              </w:rPr>
              <w:t>1,365.56</w:t>
            </w:r>
          </w:p>
        </w:tc>
        <w:tc>
          <w:tcPr>
            <w:tcW w:w="1560" w:type="dxa"/>
            <w:tcBorders>
              <w:top w:val="single" w:color="000000" w:sz="4" w:space="0"/>
              <w:left w:val="nil"/>
              <w:bottom w:val="single" w:color="000000" w:sz="4" w:space="0"/>
              <w:right w:val="single" w:color="000000" w:sz="4" w:space="0"/>
            </w:tcBorders>
            <w:vAlign w:val="center"/>
          </w:tcPr>
          <w:p>
            <w:pPr>
              <w:widowControl/>
              <w:spacing w:before="124" w:beforeLines="40" w:after="124" w:afterLines="40"/>
              <w:jc w:val="center"/>
              <w:rPr>
                <w:rFonts w:ascii="宋体" w:hAnsi="宋体" w:cs="宋体"/>
                <w:color w:val="auto"/>
                <w:kern w:val="0"/>
                <w:szCs w:val="21"/>
              </w:rPr>
            </w:pPr>
            <w:r>
              <w:rPr>
                <w:rFonts w:hint="eastAsia" w:ascii="宋体" w:hAnsi="宋体" w:cs="宋体"/>
                <w:color w:val="auto"/>
                <w:kern w:val="0"/>
                <w:szCs w:val="21"/>
              </w:rPr>
              <w:t>实际到位资金（万元）</w:t>
            </w:r>
          </w:p>
        </w:tc>
        <w:tc>
          <w:tcPr>
            <w:tcW w:w="1356" w:type="dxa"/>
            <w:tcBorders>
              <w:top w:val="single" w:color="000000" w:sz="4" w:space="0"/>
              <w:left w:val="nil"/>
              <w:bottom w:val="single" w:color="000000" w:sz="4" w:space="0"/>
              <w:right w:val="single" w:color="000000" w:sz="4" w:space="0"/>
            </w:tcBorders>
            <w:vAlign w:val="center"/>
          </w:tcPr>
          <w:p>
            <w:pPr>
              <w:widowControl/>
              <w:spacing w:before="124" w:beforeLines="40" w:after="124" w:afterLines="40"/>
              <w:jc w:val="center"/>
              <w:rPr>
                <w:rFonts w:ascii="宋体" w:hAnsi="宋体"/>
                <w:color w:val="auto"/>
              </w:rPr>
            </w:pPr>
            <w:r>
              <w:rPr>
                <w:rFonts w:hint="eastAsia" w:ascii="宋体" w:hAnsi="宋体"/>
                <w:color w:val="auto"/>
              </w:rPr>
              <w:t>1,365.56</w:t>
            </w:r>
          </w:p>
        </w:tc>
        <w:tc>
          <w:tcPr>
            <w:tcW w:w="1536" w:type="dxa"/>
            <w:tcBorders>
              <w:top w:val="single" w:color="000000" w:sz="4" w:space="0"/>
              <w:left w:val="nil"/>
              <w:bottom w:val="single" w:color="000000" w:sz="4" w:space="0"/>
              <w:right w:val="single" w:color="000000" w:sz="4" w:space="0"/>
            </w:tcBorders>
            <w:vAlign w:val="center"/>
          </w:tcPr>
          <w:p>
            <w:pPr>
              <w:widowControl/>
              <w:spacing w:before="124" w:beforeLines="40" w:after="124" w:afterLines="40"/>
              <w:jc w:val="center"/>
              <w:rPr>
                <w:rFonts w:ascii="宋体" w:hAnsi="宋体" w:cs="宋体"/>
                <w:color w:val="auto"/>
                <w:kern w:val="0"/>
                <w:szCs w:val="21"/>
              </w:rPr>
            </w:pPr>
            <w:r>
              <w:rPr>
                <w:rFonts w:hint="eastAsia" w:ascii="宋体" w:hAnsi="宋体" w:cs="宋体"/>
                <w:color w:val="auto"/>
                <w:kern w:val="0"/>
                <w:szCs w:val="21"/>
              </w:rPr>
              <w:t>实际使用情况（万元）</w:t>
            </w:r>
          </w:p>
        </w:tc>
        <w:tc>
          <w:tcPr>
            <w:tcW w:w="1419" w:type="dxa"/>
            <w:tcBorders>
              <w:top w:val="single" w:color="000000" w:sz="4" w:space="0"/>
              <w:left w:val="nil"/>
              <w:bottom w:val="single" w:color="000000" w:sz="4" w:space="0"/>
              <w:right w:val="single" w:color="000000" w:sz="4" w:space="0"/>
            </w:tcBorders>
            <w:vAlign w:val="center"/>
          </w:tcPr>
          <w:p>
            <w:pPr>
              <w:widowControl/>
              <w:spacing w:before="124" w:beforeLines="40" w:after="124" w:afterLines="40"/>
              <w:jc w:val="center"/>
              <w:rPr>
                <w:rFonts w:ascii="宋体" w:hAnsi="宋体" w:cs="宋体"/>
                <w:color w:val="auto"/>
                <w:kern w:val="0"/>
                <w:szCs w:val="21"/>
              </w:rPr>
            </w:pPr>
            <w:r>
              <w:rPr>
                <w:rFonts w:hint="eastAsia" w:ascii="宋体" w:hAnsi="宋体" w:cs="宋体"/>
                <w:color w:val="auto"/>
                <w:kern w:val="0"/>
                <w:szCs w:val="21"/>
              </w:rPr>
              <w:t>1,360.03</w:t>
            </w:r>
          </w:p>
        </w:tc>
      </w:tr>
      <w:tr>
        <w:tblPrEx>
          <w:tblCellMar>
            <w:top w:w="0" w:type="dxa"/>
            <w:left w:w="85" w:type="dxa"/>
            <w:bottom w:w="0" w:type="dxa"/>
            <w:right w:w="85" w:type="dxa"/>
          </w:tblCellMar>
        </w:tblPrEx>
        <w:trPr>
          <w:trHeight w:val="653" w:hRule="atLeast"/>
        </w:trPr>
        <w:tc>
          <w:tcPr>
            <w:tcW w:w="9934" w:type="dxa"/>
            <w:gridSpan w:val="6"/>
            <w:tcBorders>
              <w:top w:val="single" w:color="000000" w:sz="4" w:space="0"/>
              <w:left w:val="single" w:color="000000" w:sz="4" w:space="0"/>
              <w:bottom w:val="single" w:color="000000" w:sz="4" w:space="0"/>
              <w:right w:val="single" w:color="000000" w:sz="4" w:space="0"/>
            </w:tcBorders>
            <w:vAlign w:val="center"/>
          </w:tcPr>
          <w:p>
            <w:pPr>
              <w:widowControl/>
              <w:spacing w:before="124" w:beforeLines="40" w:after="124" w:afterLines="40"/>
              <w:rPr>
                <w:rFonts w:ascii="宋体" w:hAnsi="宋体" w:cs="宋体"/>
                <w:color w:val="auto"/>
                <w:kern w:val="0"/>
                <w:szCs w:val="21"/>
              </w:rPr>
            </w:pPr>
            <w:r>
              <w:rPr>
                <w:rFonts w:hint="eastAsia" w:ascii="宋体" w:hAnsi="宋体" w:cs="宋体"/>
                <w:b/>
                <w:bCs/>
                <w:color w:val="auto"/>
                <w:kern w:val="0"/>
                <w:szCs w:val="21"/>
              </w:rPr>
              <w:t>二、绩效评价指标评分</w:t>
            </w:r>
          </w:p>
        </w:tc>
      </w:tr>
    </w:tbl>
    <w:tbl>
      <w:tblPr>
        <w:tblStyle w:val="22"/>
        <w:tblW w:w="9907" w:type="dxa"/>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2"/>
        <w:gridCol w:w="1398"/>
        <w:gridCol w:w="2138"/>
        <w:gridCol w:w="1079"/>
        <w:gridCol w:w="2108"/>
        <w:gridCol w:w="509"/>
        <w:gridCol w:w="15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152" w:type="dxa"/>
            <w:vAlign w:val="top"/>
          </w:tcPr>
          <w:p>
            <w:pPr>
              <w:spacing w:before="275" w:line="220" w:lineRule="auto"/>
              <w:ind w:left="44"/>
              <w:rPr>
                <w:rFonts w:ascii="宋体" w:hAnsi="宋体" w:eastAsia="宋体" w:cs="宋体"/>
                <w:color w:val="auto"/>
                <w:sz w:val="24"/>
                <w:szCs w:val="24"/>
              </w:rPr>
            </w:pPr>
            <w:r>
              <w:rPr>
                <w:rFonts w:ascii="宋体" w:hAnsi="宋体" w:eastAsia="宋体" w:cs="宋体"/>
                <w:color w:val="auto"/>
                <w:spacing w:val="2"/>
                <w:sz w:val="24"/>
                <w:szCs w:val="24"/>
              </w:rPr>
              <w:t>一级指标</w:t>
            </w:r>
          </w:p>
        </w:tc>
        <w:tc>
          <w:tcPr>
            <w:tcW w:w="1398" w:type="dxa"/>
            <w:vAlign w:val="top"/>
          </w:tcPr>
          <w:p>
            <w:pPr>
              <w:spacing w:before="274" w:line="219" w:lineRule="auto"/>
              <w:ind w:left="450"/>
              <w:rPr>
                <w:rFonts w:ascii="宋体" w:hAnsi="宋体" w:eastAsia="宋体" w:cs="宋体"/>
                <w:color w:val="auto"/>
                <w:sz w:val="24"/>
                <w:szCs w:val="24"/>
              </w:rPr>
            </w:pPr>
            <w:r>
              <w:rPr>
                <w:rFonts w:ascii="宋体" w:hAnsi="宋体" w:eastAsia="宋体" w:cs="宋体"/>
                <w:color w:val="auto"/>
                <w:spacing w:val="4"/>
                <w:sz w:val="24"/>
                <w:szCs w:val="24"/>
              </w:rPr>
              <w:t>分值</w:t>
            </w:r>
          </w:p>
        </w:tc>
        <w:tc>
          <w:tcPr>
            <w:tcW w:w="2138" w:type="dxa"/>
            <w:vAlign w:val="top"/>
          </w:tcPr>
          <w:p>
            <w:pPr>
              <w:spacing w:before="275" w:line="220" w:lineRule="auto"/>
              <w:ind w:left="582"/>
              <w:rPr>
                <w:rFonts w:ascii="宋体" w:hAnsi="宋体" w:eastAsia="宋体" w:cs="宋体"/>
                <w:color w:val="auto"/>
                <w:sz w:val="24"/>
                <w:szCs w:val="24"/>
              </w:rPr>
            </w:pPr>
            <w:r>
              <w:rPr>
                <w:rFonts w:ascii="宋体" w:hAnsi="宋体" w:eastAsia="宋体" w:cs="宋体"/>
                <w:color w:val="auto"/>
                <w:spacing w:val="2"/>
                <w:sz w:val="24"/>
                <w:szCs w:val="24"/>
              </w:rPr>
              <w:t>二级指标</w:t>
            </w:r>
          </w:p>
        </w:tc>
        <w:tc>
          <w:tcPr>
            <w:tcW w:w="1079" w:type="dxa"/>
            <w:vAlign w:val="top"/>
          </w:tcPr>
          <w:p>
            <w:pPr>
              <w:spacing w:before="274" w:line="219" w:lineRule="auto"/>
              <w:ind w:left="295"/>
              <w:rPr>
                <w:rFonts w:ascii="宋体" w:hAnsi="宋体" w:eastAsia="宋体" w:cs="宋体"/>
                <w:color w:val="auto"/>
                <w:sz w:val="24"/>
                <w:szCs w:val="24"/>
              </w:rPr>
            </w:pPr>
            <w:r>
              <w:rPr>
                <w:rFonts w:ascii="宋体" w:hAnsi="宋体" w:eastAsia="宋体" w:cs="宋体"/>
                <w:color w:val="auto"/>
                <w:spacing w:val="4"/>
                <w:sz w:val="24"/>
                <w:szCs w:val="24"/>
              </w:rPr>
              <w:t>分值</w:t>
            </w:r>
          </w:p>
        </w:tc>
        <w:tc>
          <w:tcPr>
            <w:tcW w:w="2108" w:type="dxa"/>
            <w:vAlign w:val="top"/>
          </w:tcPr>
          <w:p>
            <w:pPr>
              <w:spacing w:before="275" w:line="220" w:lineRule="auto"/>
              <w:ind w:left="565"/>
              <w:rPr>
                <w:rFonts w:ascii="宋体" w:hAnsi="宋体" w:eastAsia="宋体" w:cs="宋体"/>
                <w:color w:val="auto"/>
                <w:sz w:val="24"/>
                <w:szCs w:val="24"/>
              </w:rPr>
            </w:pPr>
            <w:r>
              <w:rPr>
                <w:rFonts w:ascii="宋体" w:hAnsi="宋体" w:eastAsia="宋体" w:cs="宋体"/>
                <w:color w:val="auto"/>
                <w:spacing w:val="-2"/>
                <w:sz w:val="24"/>
                <w:szCs w:val="24"/>
              </w:rPr>
              <w:t>三级指标</w:t>
            </w:r>
          </w:p>
        </w:tc>
        <w:tc>
          <w:tcPr>
            <w:tcW w:w="509" w:type="dxa"/>
            <w:vAlign w:val="top"/>
          </w:tcPr>
          <w:p>
            <w:pPr>
              <w:spacing w:before="274" w:line="219" w:lineRule="auto"/>
              <w:ind w:left="7"/>
              <w:rPr>
                <w:rFonts w:ascii="宋体" w:hAnsi="宋体" w:eastAsia="宋体" w:cs="宋体"/>
                <w:color w:val="auto"/>
                <w:sz w:val="24"/>
                <w:szCs w:val="24"/>
              </w:rPr>
            </w:pPr>
            <w:r>
              <w:rPr>
                <w:rFonts w:ascii="宋体" w:hAnsi="宋体" w:eastAsia="宋体" w:cs="宋体"/>
                <w:color w:val="auto"/>
                <w:spacing w:val="4"/>
                <w:sz w:val="24"/>
                <w:szCs w:val="24"/>
              </w:rPr>
              <w:t>分值</w:t>
            </w:r>
          </w:p>
        </w:tc>
        <w:tc>
          <w:tcPr>
            <w:tcW w:w="1523" w:type="dxa"/>
            <w:vAlign w:val="top"/>
          </w:tcPr>
          <w:p>
            <w:pPr>
              <w:spacing w:before="274" w:line="219" w:lineRule="auto"/>
              <w:ind w:left="519"/>
              <w:rPr>
                <w:rFonts w:ascii="宋体" w:hAnsi="宋体" w:eastAsia="宋体" w:cs="宋体"/>
                <w:color w:val="auto"/>
                <w:sz w:val="24"/>
                <w:szCs w:val="24"/>
              </w:rPr>
            </w:pPr>
            <w:r>
              <w:rPr>
                <w:rFonts w:ascii="宋体" w:hAnsi="宋体" w:eastAsia="宋体" w:cs="宋体"/>
                <w:color w:val="auto"/>
                <w:spacing w:val="5"/>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52" w:type="dxa"/>
            <w:vMerge w:val="restart"/>
            <w:tcBorders>
              <w:bottom w:val="nil"/>
            </w:tcBorders>
            <w:vAlign w:val="top"/>
          </w:tcPr>
          <w:p>
            <w:pPr>
              <w:pStyle w:val="23"/>
              <w:spacing w:line="253" w:lineRule="auto"/>
              <w:rPr>
                <w:color w:val="auto"/>
              </w:rPr>
            </w:pPr>
          </w:p>
          <w:p>
            <w:pPr>
              <w:pStyle w:val="23"/>
              <w:spacing w:line="253" w:lineRule="auto"/>
              <w:rPr>
                <w:color w:val="auto"/>
              </w:rPr>
            </w:pPr>
          </w:p>
          <w:p>
            <w:pPr>
              <w:pStyle w:val="23"/>
              <w:spacing w:line="253" w:lineRule="auto"/>
              <w:rPr>
                <w:color w:val="auto"/>
              </w:rPr>
            </w:pPr>
          </w:p>
          <w:p>
            <w:pPr>
              <w:pStyle w:val="23"/>
              <w:spacing w:line="253" w:lineRule="auto"/>
              <w:rPr>
                <w:color w:val="auto"/>
              </w:rPr>
            </w:pPr>
          </w:p>
          <w:p>
            <w:pPr>
              <w:pStyle w:val="23"/>
              <w:spacing w:line="253" w:lineRule="auto"/>
              <w:rPr>
                <w:color w:val="auto"/>
              </w:rPr>
            </w:pPr>
          </w:p>
          <w:p>
            <w:pPr>
              <w:spacing w:before="78" w:line="219" w:lineRule="auto"/>
              <w:ind w:left="44"/>
              <w:rPr>
                <w:rFonts w:ascii="宋体" w:hAnsi="宋体" w:eastAsia="宋体" w:cs="宋体"/>
                <w:color w:val="auto"/>
                <w:sz w:val="24"/>
                <w:szCs w:val="24"/>
              </w:rPr>
            </w:pPr>
            <w:r>
              <w:rPr>
                <w:rFonts w:ascii="宋体" w:hAnsi="宋体" w:eastAsia="宋体" w:cs="宋体"/>
                <w:color w:val="auto"/>
                <w:spacing w:val="2"/>
                <w:sz w:val="24"/>
                <w:szCs w:val="24"/>
              </w:rPr>
              <w:t>项目决策</w:t>
            </w:r>
          </w:p>
        </w:tc>
        <w:tc>
          <w:tcPr>
            <w:tcW w:w="1398" w:type="dxa"/>
            <w:vMerge w:val="restart"/>
            <w:tcBorders>
              <w:bottom w:val="nil"/>
            </w:tcBorders>
            <w:vAlign w:val="top"/>
          </w:tcPr>
          <w:p>
            <w:pPr>
              <w:pStyle w:val="23"/>
              <w:spacing w:line="257" w:lineRule="auto"/>
              <w:rPr>
                <w:color w:val="auto"/>
              </w:rPr>
            </w:pPr>
          </w:p>
          <w:p>
            <w:pPr>
              <w:pStyle w:val="23"/>
              <w:spacing w:line="257" w:lineRule="auto"/>
              <w:rPr>
                <w:color w:val="auto"/>
              </w:rPr>
            </w:pPr>
          </w:p>
          <w:p>
            <w:pPr>
              <w:pStyle w:val="23"/>
              <w:spacing w:line="258" w:lineRule="auto"/>
              <w:rPr>
                <w:color w:val="auto"/>
              </w:rPr>
            </w:pPr>
          </w:p>
          <w:p>
            <w:pPr>
              <w:pStyle w:val="23"/>
              <w:spacing w:line="258" w:lineRule="auto"/>
              <w:rPr>
                <w:color w:val="auto"/>
              </w:rPr>
            </w:pPr>
          </w:p>
          <w:p>
            <w:pPr>
              <w:pStyle w:val="23"/>
              <w:spacing w:line="258" w:lineRule="auto"/>
              <w:rPr>
                <w:color w:val="auto"/>
              </w:rPr>
            </w:pPr>
          </w:p>
          <w:p>
            <w:pPr>
              <w:spacing w:before="78"/>
              <w:ind w:left="571"/>
              <w:rPr>
                <w:rFonts w:hint="default" w:ascii="宋体" w:hAnsi="宋体" w:eastAsia="宋体" w:cs="宋体"/>
                <w:color w:val="auto"/>
                <w:sz w:val="24"/>
                <w:szCs w:val="24"/>
                <w:lang w:val="en-US" w:eastAsia="zh-CN"/>
              </w:rPr>
            </w:pPr>
            <w:r>
              <w:rPr>
                <w:rFonts w:hint="eastAsia" w:ascii="宋体" w:hAnsi="宋体" w:eastAsia="宋体" w:cs="宋体"/>
                <w:color w:val="auto"/>
                <w:spacing w:val="-4"/>
                <w:sz w:val="24"/>
                <w:szCs w:val="24"/>
                <w:lang w:val="en-US" w:eastAsia="zh-CN"/>
              </w:rPr>
              <w:t>12</w:t>
            </w:r>
          </w:p>
        </w:tc>
        <w:tc>
          <w:tcPr>
            <w:tcW w:w="2138" w:type="dxa"/>
            <w:vMerge w:val="restart"/>
            <w:tcBorders>
              <w:bottom w:val="nil"/>
            </w:tcBorders>
            <w:vAlign w:val="top"/>
          </w:tcPr>
          <w:p>
            <w:pPr>
              <w:pStyle w:val="23"/>
              <w:spacing w:line="281" w:lineRule="auto"/>
              <w:rPr>
                <w:color w:val="auto"/>
              </w:rPr>
            </w:pPr>
          </w:p>
          <w:p>
            <w:pPr>
              <w:spacing w:before="78" w:line="220" w:lineRule="auto"/>
              <w:ind w:left="582"/>
              <w:rPr>
                <w:rFonts w:ascii="宋体" w:hAnsi="宋体" w:eastAsia="宋体" w:cs="宋体"/>
                <w:color w:val="auto"/>
                <w:sz w:val="24"/>
                <w:szCs w:val="24"/>
              </w:rPr>
            </w:pPr>
            <w:r>
              <w:rPr>
                <w:rFonts w:ascii="宋体" w:hAnsi="宋体" w:eastAsia="宋体" w:cs="宋体"/>
                <w:color w:val="auto"/>
                <w:spacing w:val="3"/>
                <w:sz w:val="24"/>
                <w:szCs w:val="24"/>
              </w:rPr>
              <w:t>项目立项</w:t>
            </w:r>
          </w:p>
        </w:tc>
        <w:tc>
          <w:tcPr>
            <w:tcW w:w="1079" w:type="dxa"/>
            <w:vMerge w:val="restart"/>
            <w:tcBorders>
              <w:bottom w:val="nil"/>
            </w:tcBorders>
            <w:vAlign w:val="top"/>
          </w:tcPr>
          <w:p>
            <w:pPr>
              <w:pStyle w:val="23"/>
              <w:spacing w:line="304" w:lineRule="auto"/>
              <w:rPr>
                <w:color w:val="auto"/>
              </w:rPr>
            </w:pPr>
          </w:p>
          <w:p>
            <w:pPr>
              <w:spacing w:before="78" w:line="241" w:lineRule="auto"/>
              <w:ind w:left="474"/>
              <w:rPr>
                <w:rFonts w:ascii="宋体" w:hAnsi="宋体" w:eastAsia="宋体" w:cs="宋体"/>
                <w:color w:val="auto"/>
                <w:sz w:val="24"/>
                <w:szCs w:val="24"/>
              </w:rPr>
            </w:pPr>
            <w:r>
              <w:rPr>
                <w:rFonts w:ascii="宋体" w:hAnsi="宋体" w:eastAsia="宋体" w:cs="宋体"/>
                <w:color w:val="auto"/>
                <w:sz w:val="24"/>
                <w:szCs w:val="24"/>
              </w:rPr>
              <w:t>4</w:t>
            </w:r>
          </w:p>
        </w:tc>
        <w:tc>
          <w:tcPr>
            <w:tcW w:w="2108" w:type="dxa"/>
            <w:vAlign w:val="top"/>
          </w:tcPr>
          <w:p>
            <w:pPr>
              <w:spacing w:before="139" w:line="219" w:lineRule="auto"/>
              <w:ind w:left="206"/>
              <w:rPr>
                <w:rFonts w:ascii="宋体" w:hAnsi="宋体" w:eastAsia="宋体" w:cs="宋体"/>
                <w:color w:val="auto"/>
                <w:sz w:val="24"/>
                <w:szCs w:val="24"/>
              </w:rPr>
            </w:pPr>
            <w:r>
              <w:rPr>
                <w:rFonts w:ascii="宋体" w:hAnsi="宋体" w:eastAsia="宋体" w:cs="宋体"/>
                <w:color w:val="auto"/>
                <w:spacing w:val="-2"/>
                <w:sz w:val="24"/>
                <w:szCs w:val="24"/>
              </w:rPr>
              <w:t>立项依据充分性</w:t>
            </w:r>
          </w:p>
        </w:tc>
        <w:tc>
          <w:tcPr>
            <w:tcW w:w="509" w:type="dxa"/>
            <w:vAlign w:val="top"/>
          </w:tcPr>
          <w:p>
            <w:pPr>
              <w:spacing w:before="164" w:line="241" w:lineRule="auto"/>
              <w:ind w:left="188"/>
              <w:rPr>
                <w:rFonts w:ascii="宋体" w:hAnsi="宋体" w:eastAsia="宋体" w:cs="宋体"/>
                <w:color w:val="auto"/>
                <w:sz w:val="24"/>
                <w:szCs w:val="24"/>
              </w:rPr>
            </w:pPr>
            <w:r>
              <w:rPr>
                <w:rFonts w:ascii="宋体" w:hAnsi="宋体" w:eastAsia="宋体" w:cs="宋体"/>
                <w:color w:val="auto"/>
                <w:sz w:val="24"/>
                <w:szCs w:val="24"/>
              </w:rPr>
              <w:t>2</w:t>
            </w:r>
          </w:p>
        </w:tc>
        <w:tc>
          <w:tcPr>
            <w:tcW w:w="1523" w:type="dxa"/>
            <w:vAlign w:val="top"/>
          </w:tcPr>
          <w:p>
            <w:pPr>
              <w:spacing w:before="164" w:line="241" w:lineRule="auto"/>
              <w:ind w:left="698"/>
              <w:rPr>
                <w:rFonts w:ascii="宋体" w:hAnsi="宋体" w:eastAsia="宋体" w:cs="宋体"/>
                <w:color w:val="auto"/>
                <w:sz w:val="24"/>
                <w:szCs w:val="24"/>
              </w:rPr>
            </w:pPr>
            <w:r>
              <w:rPr>
                <w:rFonts w:ascii="宋体" w:hAnsi="宋体" w:eastAsia="宋体" w:cs="宋体"/>
                <w:color w:val="auto"/>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52" w:type="dxa"/>
            <w:vMerge w:val="continue"/>
            <w:tcBorders>
              <w:top w:val="nil"/>
              <w:bottom w:val="nil"/>
            </w:tcBorders>
            <w:vAlign w:val="top"/>
          </w:tcPr>
          <w:p>
            <w:pPr>
              <w:pStyle w:val="23"/>
              <w:rPr>
                <w:color w:val="auto"/>
              </w:rPr>
            </w:pPr>
          </w:p>
        </w:tc>
        <w:tc>
          <w:tcPr>
            <w:tcW w:w="1398" w:type="dxa"/>
            <w:vMerge w:val="continue"/>
            <w:tcBorders>
              <w:top w:val="nil"/>
              <w:bottom w:val="nil"/>
            </w:tcBorders>
            <w:vAlign w:val="top"/>
          </w:tcPr>
          <w:p>
            <w:pPr>
              <w:pStyle w:val="23"/>
              <w:rPr>
                <w:color w:val="auto"/>
              </w:rPr>
            </w:pPr>
          </w:p>
        </w:tc>
        <w:tc>
          <w:tcPr>
            <w:tcW w:w="2138" w:type="dxa"/>
            <w:vMerge w:val="continue"/>
            <w:tcBorders>
              <w:top w:val="nil"/>
            </w:tcBorders>
            <w:vAlign w:val="top"/>
          </w:tcPr>
          <w:p>
            <w:pPr>
              <w:pStyle w:val="23"/>
              <w:rPr>
                <w:color w:val="auto"/>
              </w:rPr>
            </w:pPr>
          </w:p>
        </w:tc>
        <w:tc>
          <w:tcPr>
            <w:tcW w:w="1079" w:type="dxa"/>
            <w:vMerge w:val="continue"/>
            <w:tcBorders>
              <w:top w:val="nil"/>
            </w:tcBorders>
            <w:vAlign w:val="top"/>
          </w:tcPr>
          <w:p>
            <w:pPr>
              <w:pStyle w:val="23"/>
              <w:rPr>
                <w:color w:val="auto"/>
              </w:rPr>
            </w:pPr>
          </w:p>
        </w:tc>
        <w:tc>
          <w:tcPr>
            <w:tcW w:w="2108" w:type="dxa"/>
            <w:vAlign w:val="top"/>
          </w:tcPr>
          <w:p>
            <w:pPr>
              <w:spacing w:before="101" w:line="220" w:lineRule="auto"/>
              <w:ind w:left="206"/>
              <w:rPr>
                <w:rFonts w:ascii="宋体" w:hAnsi="宋体" w:eastAsia="宋体" w:cs="宋体"/>
                <w:color w:val="auto"/>
                <w:sz w:val="24"/>
                <w:szCs w:val="24"/>
              </w:rPr>
            </w:pPr>
            <w:r>
              <w:rPr>
                <w:rFonts w:ascii="宋体" w:hAnsi="宋体" w:eastAsia="宋体" w:cs="宋体"/>
                <w:color w:val="auto"/>
                <w:spacing w:val="-2"/>
                <w:sz w:val="24"/>
                <w:szCs w:val="24"/>
              </w:rPr>
              <w:t>立项程序规范性</w:t>
            </w:r>
          </w:p>
        </w:tc>
        <w:tc>
          <w:tcPr>
            <w:tcW w:w="509" w:type="dxa"/>
            <w:vAlign w:val="top"/>
          </w:tcPr>
          <w:p>
            <w:pPr>
              <w:spacing w:before="124" w:line="235" w:lineRule="auto"/>
              <w:ind w:left="188"/>
              <w:rPr>
                <w:rFonts w:ascii="宋体" w:hAnsi="宋体" w:eastAsia="宋体" w:cs="宋体"/>
                <w:color w:val="auto"/>
                <w:sz w:val="24"/>
                <w:szCs w:val="24"/>
              </w:rPr>
            </w:pPr>
            <w:r>
              <w:rPr>
                <w:rFonts w:ascii="宋体" w:hAnsi="宋体" w:eastAsia="宋体" w:cs="宋体"/>
                <w:color w:val="auto"/>
                <w:sz w:val="24"/>
                <w:szCs w:val="24"/>
              </w:rPr>
              <w:t>2</w:t>
            </w:r>
          </w:p>
        </w:tc>
        <w:tc>
          <w:tcPr>
            <w:tcW w:w="1523" w:type="dxa"/>
            <w:vAlign w:val="top"/>
          </w:tcPr>
          <w:p>
            <w:pPr>
              <w:spacing w:before="124" w:line="235" w:lineRule="auto"/>
              <w:ind w:left="698"/>
              <w:rPr>
                <w:rFonts w:ascii="宋体" w:hAnsi="宋体" w:eastAsia="宋体" w:cs="宋体"/>
                <w:color w:val="auto"/>
                <w:sz w:val="24"/>
                <w:szCs w:val="24"/>
              </w:rPr>
            </w:pPr>
            <w:r>
              <w:rPr>
                <w:rFonts w:ascii="宋体" w:hAnsi="宋体" w:eastAsia="宋体" w:cs="宋体"/>
                <w:color w:val="auto"/>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52" w:type="dxa"/>
            <w:vMerge w:val="continue"/>
            <w:tcBorders>
              <w:top w:val="nil"/>
              <w:bottom w:val="nil"/>
            </w:tcBorders>
            <w:vAlign w:val="top"/>
          </w:tcPr>
          <w:p>
            <w:pPr>
              <w:pStyle w:val="23"/>
              <w:rPr>
                <w:color w:val="auto"/>
              </w:rPr>
            </w:pPr>
          </w:p>
        </w:tc>
        <w:tc>
          <w:tcPr>
            <w:tcW w:w="1398" w:type="dxa"/>
            <w:vMerge w:val="continue"/>
            <w:tcBorders>
              <w:top w:val="nil"/>
              <w:bottom w:val="nil"/>
            </w:tcBorders>
            <w:vAlign w:val="top"/>
          </w:tcPr>
          <w:p>
            <w:pPr>
              <w:pStyle w:val="23"/>
              <w:rPr>
                <w:color w:val="auto"/>
              </w:rPr>
            </w:pPr>
          </w:p>
        </w:tc>
        <w:tc>
          <w:tcPr>
            <w:tcW w:w="2138" w:type="dxa"/>
            <w:vMerge w:val="restart"/>
            <w:tcBorders>
              <w:bottom w:val="nil"/>
            </w:tcBorders>
            <w:vAlign w:val="top"/>
          </w:tcPr>
          <w:p>
            <w:pPr>
              <w:pStyle w:val="23"/>
              <w:spacing w:line="261" w:lineRule="auto"/>
              <w:rPr>
                <w:color w:val="auto"/>
              </w:rPr>
            </w:pPr>
          </w:p>
          <w:p>
            <w:pPr>
              <w:spacing w:before="78" w:line="220" w:lineRule="auto"/>
              <w:ind w:left="582"/>
              <w:rPr>
                <w:rFonts w:ascii="宋体" w:hAnsi="宋体" w:eastAsia="宋体" w:cs="宋体"/>
                <w:color w:val="auto"/>
                <w:sz w:val="24"/>
                <w:szCs w:val="24"/>
              </w:rPr>
            </w:pPr>
            <w:r>
              <w:rPr>
                <w:rFonts w:ascii="宋体" w:hAnsi="宋体" w:eastAsia="宋体" w:cs="宋体"/>
                <w:color w:val="auto"/>
                <w:spacing w:val="2"/>
                <w:sz w:val="24"/>
                <w:szCs w:val="24"/>
              </w:rPr>
              <w:t>绩效目标</w:t>
            </w:r>
          </w:p>
        </w:tc>
        <w:tc>
          <w:tcPr>
            <w:tcW w:w="1079" w:type="dxa"/>
            <w:vMerge w:val="restart"/>
            <w:tcBorders>
              <w:bottom w:val="nil"/>
            </w:tcBorders>
            <w:vAlign w:val="top"/>
          </w:tcPr>
          <w:p>
            <w:pPr>
              <w:pStyle w:val="23"/>
              <w:spacing w:line="284" w:lineRule="auto"/>
              <w:rPr>
                <w:color w:val="auto"/>
              </w:rPr>
            </w:pPr>
          </w:p>
          <w:p>
            <w:pPr>
              <w:spacing w:before="78"/>
              <w:ind w:left="474"/>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2108" w:type="dxa"/>
            <w:vAlign w:val="top"/>
          </w:tcPr>
          <w:p>
            <w:pPr>
              <w:spacing w:before="121" w:line="220" w:lineRule="auto"/>
              <w:ind w:left="206"/>
              <w:rPr>
                <w:rFonts w:ascii="宋体" w:hAnsi="宋体" w:eastAsia="宋体" w:cs="宋体"/>
                <w:color w:val="auto"/>
                <w:sz w:val="24"/>
                <w:szCs w:val="24"/>
              </w:rPr>
            </w:pPr>
            <w:r>
              <w:rPr>
                <w:rFonts w:ascii="宋体" w:hAnsi="宋体" w:eastAsia="宋体" w:cs="宋体"/>
                <w:color w:val="auto"/>
                <w:spacing w:val="1"/>
                <w:sz w:val="24"/>
                <w:szCs w:val="24"/>
              </w:rPr>
              <w:t>绩效目标合理性</w:t>
            </w:r>
          </w:p>
        </w:tc>
        <w:tc>
          <w:tcPr>
            <w:tcW w:w="509" w:type="dxa"/>
            <w:vAlign w:val="top"/>
          </w:tcPr>
          <w:p>
            <w:pPr>
              <w:spacing w:before="144"/>
              <w:ind w:left="18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1523" w:type="dxa"/>
            <w:vAlign w:val="top"/>
          </w:tcPr>
          <w:p>
            <w:pPr>
              <w:spacing w:before="144"/>
              <w:ind w:left="69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52" w:type="dxa"/>
            <w:vMerge w:val="continue"/>
            <w:tcBorders>
              <w:top w:val="nil"/>
              <w:bottom w:val="nil"/>
            </w:tcBorders>
            <w:vAlign w:val="top"/>
          </w:tcPr>
          <w:p>
            <w:pPr>
              <w:pStyle w:val="23"/>
              <w:rPr>
                <w:color w:val="auto"/>
              </w:rPr>
            </w:pPr>
          </w:p>
        </w:tc>
        <w:tc>
          <w:tcPr>
            <w:tcW w:w="1398" w:type="dxa"/>
            <w:vMerge w:val="continue"/>
            <w:tcBorders>
              <w:top w:val="nil"/>
              <w:bottom w:val="nil"/>
            </w:tcBorders>
            <w:vAlign w:val="top"/>
          </w:tcPr>
          <w:p>
            <w:pPr>
              <w:pStyle w:val="23"/>
              <w:rPr>
                <w:color w:val="auto"/>
              </w:rPr>
            </w:pPr>
          </w:p>
        </w:tc>
        <w:tc>
          <w:tcPr>
            <w:tcW w:w="2138" w:type="dxa"/>
            <w:vMerge w:val="continue"/>
            <w:tcBorders>
              <w:top w:val="nil"/>
            </w:tcBorders>
            <w:vAlign w:val="top"/>
          </w:tcPr>
          <w:p>
            <w:pPr>
              <w:pStyle w:val="23"/>
              <w:rPr>
                <w:color w:val="auto"/>
              </w:rPr>
            </w:pPr>
          </w:p>
        </w:tc>
        <w:tc>
          <w:tcPr>
            <w:tcW w:w="1079" w:type="dxa"/>
            <w:vMerge w:val="continue"/>
            <w:tcBorders>
              <w:top w:val="nil"/>
            </w:tcBorders>
            <w:vAlign w:val="top"/>
          </w:tcPr>
          <w:p>
            <w:pPr>
              <w:pStyle w:val="23"/>
              <w:rPr>
                <w:color w:val="auto"/>
              </w:rPr>
            </w:pPr>
          </w:p>
        </w:tc>
        <w:tc>
          <w:tcPr>
            <w:tcW w:w="2108" w:type="dxa"/>
            <w:vAlign w:val="top"/>
          </w:tcPr>
          <w:p>
            <w:pPr>
              <w:spacing w:before="100" w:line="219" w:lineRule="auto"/>
              <w:ind w:left="206"/>
              <w:rPr>
                <w:rFonts w:ascii="宋体" w:hAnsi="宋体" w:eastAsia="宋体" w:cs="宋体"/>
                <w:color w:val="auto"/>
                <w:sz w:val="24"/>
                <w:szCs w:val="24"/>
              </w:rPr>
            </w:pPr>
            <w:r>
              <w:rPr>
                <w:rFonts w:ascii="宋体" w:hAnsi="宋体" w:eastAsia="宋体" w:cs="宋体"/>
                <w:color w:val="auto"/>
                <w:spacing w:val="1"/>
                <w:sz w:val="24"/>
                <w:szCs w:val="24"/>
              </w:rPr>
              <w:t>绩效指标明确性</w:t>
            </w:r>
          </w:p>
        </w:tc>
        <w:tc>
          <w:tcPr>
            <w:tcW w:w="509" w:type="dxa"/>
            <w:vAlign w:val="top"/>
          </w:tcPr>
          <w:p>
            <w:pPr>
              <w:spacing w:before="124" w:line="235" w:lineRule="auto"/>
              <w:ind w:left="18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1523" w:type="dxa"/>
            <w:vAlign w:val="top"/>
          </w:tcPr>
          <w:p>
            <w:pPr>
              <w:spacing w:before="124" w:line="235" w:lineRule="auto"/>
              <w:ind w:left="698"/>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52" w:type="dxa"/>
            <w:vMerge w:val="continue"/>
            <w:tcBorders>
              <w:top w:val="nil"/>
              <w:bottom w:val="nil"/>
            </w:tcBorders>
            <w:vAlign w:val="top"/>
          </w:tcPr>
          <w:p>
            <w:pPr>
              <w:pStyle w:val="23"/>
              <w:rPr>
                <w:color w:val="auto"/>
              </w:rPr>
            </w:pPr>
          </w:p>
        </w:tc>
        <w:tc>
          <w:tcPr>
            <w:tcW w:w="1398" w:type="dxa"/>
            <w:vMerge w:val="continue"/>
            <w:tcBorders>
              <w:top w:val="nil"/>
              <w:bottom w:val="nil"/>
            </w:tcBorders>
            <w:vAlign w:val="top"/>
          </w:tcPr>
          <w:p>
            <w:pPr>
              <w:pStyle w:val="23"/>
              <w:rPr>
                <w:color w:val="auto"/>
              </w:rPr>
            </w:pPr>
          </w:p>
        </w:tc>
        <w:tc>
          <w:tcPr>
            <w:tcW w:w="2138" w:type="dxa"/>
            <w:vMerge w:val="restart"/>
            <w:tcBorders>
              <w:bottom w:val="nil"/>
            </w:tcBorders>
            <w:vAlign w:val="top"/>
          </w:tcPr>
          <w:p>
            <w:pPr>
              <w:pStyle w:val="23"/>
              <w:spacing w:line="321" w:lineRule="auto"/>
              <w:rPr>
                <w:color w:val="auto"/>
              </w:rPr>
            </w:pPr>
          </w:p>
          <w:p>
            <w:pPr>
              <w:spacing w:before="78" w:line="220" w:lineRule="auto"/>
              <w:ind w:left="582"/>
              <w:rPr>
                <w:rFonts w:ascii="宋体" w:hAnsi="宋体" w:eastAsia="宋体" w:cs="宋体"/>
                <w:color w:val="auto"/>
                <w:sz w:val="24"/>
                <w:szCs w:val="24"/>
              </w:rPr>
            </w:pPr>
            <w:r>
              <w:rPr>
                <w:rFonts w:ascii="宋体" w:hAnsi="宋体" w:eastAsia="宋体" w:cs="宋体"/>
                <w:color w:val="auto"/>
                <w:spacing w:val="2"/>
                <w:sz w:val="24"/>
                <w:szCs w:val="24"/>
              </w:rPr>
              <w:t>资金投入</w:t>
            </w:r>
          </w:p>
        </w:tc>
        <w:tc>
          <w:tcPr>
            <w:tcW w:w="1079" w:type="dxa"/>
            <w:vMerge w:val="restart"/>
            <w:tcBorders>
              <w:bottom w:val="nil"/>
            </w:tcBorders>
            <w:vAlign w:val="top"/>
          </w:tcPr>
          <w:p>
            <w:pPr>
              <w:pStyle w:val="23"/>
              <w:spacing w:line="343" w:lineRule="auto"/>
              <w:rPr>
                <w:color w:val="auto"/>
              </w:rPr>
            </w:pPr>
          </w:p>
          <w:p>
            <w:pPr>
              <w:spacing w:before="78"/>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2108" w:type="dxa"/>
            <w:vAlign w:val="top"/>
          </w:tcPr>
          <w:p>
            <w:pPr>
              <w:spacing w:before="119" w:line="219" w:lineRule="auto"/>
              <w:ind w:left="206"/>
              <w:rPr>
                <w:rFonts w:ascii="宋体" w:hAnsi="宋体" w:eastAsia="宋体" w:cs="宋体"/>
                <w:color w:val="auto"/>
                <w:sz w:val="24"/>
                <w:szCs w:val="24"/>
              </w:rPr>
            </w:pPr>
            <w:r>
              <w:rPr>
                <w:rFonts w:ascii="宋体" w:hAnsi="宋体" w:eastAsia="宋体" w:cs="宋体"/>
                <w:color w:val="auto"/>
                <w:spacing w:val="1"/>
                <w:sz w:val="24"/>
                <w:szCs w:val="24"/>
              </w:rPr>
              <w:t>预算编制科学性</w:t>
            </w:r>
          </w:p>
        </w:tc>
        <w:tc>
          <w:tcPr>
            <w:tcW w:w="509" w:type="dxa"/>
            <w:vAlign w:val="top"/>
          </w:tcPr>
          <w:p>
            <w:pPr>
              <w:spacing w:before="144"/>
              <w:ind w:left="18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1523" w:type="dxa"/>
            <w:vAlign w:val="top"/>
          </w:tcPr>
          <w:p>
            <w:pPr>
              <w:spacing w:before="144" w:line="241" w:lineRule="auto"/>
              <w:ind w:left="69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152" w:type="dxa"/>
            <w:vMerge w:val="continue"/>
            <w:tcBorders>
              <w:top w:val="nil"/>
            </w:tcBorders>
            <w:vAlign w:val="top"/>
          </w:tcPr>
          <w:p>
            <w:pPr>
              <w:pStyle w:val="23"/>
              <w:rPr>
                <w:color w:val="auto"/>
              </w:rPr>
            </w:pPr>
          </w:p>
        </w:tc>
        <w:tc>
          <w:tcPr>
            <w:tcW w:w="1398" w:type="dxa"/>
            <w:vMerge w:val="continue"/>
            <w:tcBorders>
              <w:top w:val="nil"/>
            </w:tcBorders>
            <w:vAlign w:val="top"/>
          </w:tcPr>
          <w:p>
            <w:pPr>
              <w:pStyle w:val="23"/>
              <w:rPr>
                <w:color w:val="auto"/>
              </w:rPr>
            </w:pPr>
          </w:p>
        </w:tc>
        <w:tc>
          <w:tcPr>
            <w:tcW w:w="2138" w:type="dxa"/>
            <w:vMerge w:val="continue"/>
            <w:tcBorders>
              <w:top w:val="nil"/>
            </w:tcBorders>
            <w:vAlign w:val="top"/>
          </w:tcPr>
          <w:p>
            <w:pPr>
              <w:pStyle w:val="23"/>
              <w:rPr>
                <w:color w:val="auto"/>
              </w:rPr>
            </w:pPr>
          </w:p>
        </w:tc>
        <w:tc>
          <w:tcPr>
            <w:tcW w:w="1079" w:type="dxa"/>
            <w:vMerge w:val="continue"/>
            <w:tcBorders>
              <w:top w:val="nil"/>
            </w:tcBorders>
            <w:vAlign w:val="top"/>
          </w:tcPr>
          <w:p>
            <w:pPr>
              <w:pStyle w:val="23"/>
              <w:rPr>
                <w:color w:val="auto"/>
              </w:rPr>
            </w:pPr>
          </w:p>
        </w:tc>
        <w:tc>
          <w:tcPr>
            <w:tcW w:w="2108" w:type="dxa"/>
            <w:vAlign w:val="top"/>
          </w:tcPr>
          <w:p>
            <w:pPr>
              <w:spacing w:before="161" w:line="220" w:lineRule="auto"/>
              <w:ind w:left="206"/>
              <w:rPr>
                <w:rFonts w:ascii="宋体" w:hAnsi="宋体" w:eastAsia="宋体" w:cs="宋体"/>
                <w:color w:val="auto"/>
                <w:sz w:val="24"/>
                <w:szCs w:val="24"/>
              </w:rPr>
            </w:pPr>
            <w:r>
              <w:rPr>
                <w:rFonts w:ascii="宋体" w:hAnsi="宋体" w:eastAsia="宋体" w:cs="宋体"/>
                <w:color w:val="auto"/>
                <w:spacing w:val="1"/>
                <w:sz w:val="24"/>
                <w:szCs w:val="24"/>
              </w:rPr>
              <w:t>资金分配合理性</w:t>
            </w:r>
          </w:p>
        </w:tc>
        <w:tc>
          <w:tcPr>
            <w:tcW w:w="509" w:type="dxa"/>
            <w:vAlign w:val="top"/>
          </w:tcPr>
          <w:p>
            <w:pPr>
              <w:spacing w:before="184"/>
              <w:ind w:left="18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1523" w:type="dxa"/>
            <w:vAlign w:val="top"/>
          </w:tcPr>
          <w:p>
            <w:pPr>
              <w:spacing w:before="184"/>
              <w:ind w:left="69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152" w:type="dxa"/>
            <w:vMerge w:val="restart"/>
            <w:tcBorders>
              <w:bottom w:val="nil"/>
            </w:tcBorders>
            <w:vAlign w:val="top"/>
          </w:tcPr>
          <w:p>
            <w:pPr>
              <w:pStyle w:val="23"/>
              <w:spacing w:line="309" w:lineRule="auto"/>
              <w:rPr>
                <w:color w:val="auto"/>
              </w:rPr>
            </w:pPr>
          </w:p>
          <w:p>
            <w:pPr>
              <w:pStyle w:val="23"/>
              <w:spacing w:line="309" w:lineRule="auto"/>
              <w:rPr>
                <w:color w:val="auto"/>
              </w:rPr>
            </w:pPr>
          </w:p>
          <w:p>
            <w:pPr>
              <w:pStyle w:val="23"/>
              <w:spacing w:line="310" w:lineRule="auto"/>
              <w:rPr>
                <w:color w:val="auto"/>
              </w:rPr>
            </w:pPr>
          </w:p>
          <w:p>
            <w:pPr>
              <w:spacing w:before="78" w:line="220" w:lineRule="auto"/>
              <w:ind w:left="44"/>
              <w:rPr>
                <w:rFonts w:ascii="宋体" w:hAnsi="宋体" w:eastAsia="宋体" w:cs="宋体"/>
                <w:color w:val="auto"/>
                <w:sz w:val="24"/>
                <w:szCs w:val="24"/>
              </w:rPr>
            </w:pPr>
            <w:r>
              <w:rPr>
                <w:rFonts w:ascii="宋体" w:hAnsi="宋体" w:eastAsia="宋体" w:cs="宋体"/>
                <w:color w:val="auto"/>
                <w:spacing w:val="2"/>
                <w:sz w:val="24"/>
                <w:szCs w:val="24"/>
              </w:rPr>
              <w:t>项目过程</w:t>
            </w:r>
          </w:p>
        </w:tc>
        <w:tc>
          <w:tcPr>
            <w:tcW w:w="1398" w:type="dxa"/>
            <w:vMerge w:val="restart"/>
            <w:tcBorders>
              <w:bottom w:val="nil"/>
            </w:tcBorders>
            <w:vAlign w:val="top"/>
          </w:tcPr>
          <w:p>
            <w:pPr>
              <w:pStyle w:val="23"/>
              <w:spacing w:line="317" w:lineRule="auto"/>
              <w:rPr>
                <w:color w:val="auto"/>
              </w:rPr>
            </w:pPr>
          </w:p>
          <w:p>
            <w:pPr>
              <w:pStyle w:val="23"/>
              <w:spacing w:line="317" w:lineRule="auto"/>
              <w:rPr>
                <w:color w:val="auto"/>
              </w:rPr>
            </w:pPr>
          </w:p>
          <w:p>
            <w:pPr>
              <w:pStyle w:val="23"/>
              <w:spacing w:line="317" w:lineRule="auto"/>
              <w:rPr>
                <w:color w:val="auto"/>
              </w:rPr>
            </w:pPr>
          </w:p>
          <w:p>
            <w:pPr>
              <w:spacing w:before="78"/>
              <w:ind w:left="571"/>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w:t>
            </w:r>
          </w:p>
        </w:tc>
        <w:tc>
          <w:tcPr>
            <w:tcW w:w="2138" w:type="dxa"/>
            <w:vMerge w:val="restart"/>
            <w:tcBorders>
              <w:bottom w:val="nil"/>
            </w:tcBorders>
            <w:vAlign w:val="top"/>
          </w:tcPr>
          <w:p>
            <w:pPr>
              <w:pStyle w:val="23"/>
              <w:spacing w:line="471" w:lineRule="auto"/>
              <w:rPr>
                <w:color w:val="auto"/>
              </w:rPr>
            </w:pPr>
          </w:p>
          <w:p>
            <w:pPr>
              <w:spacing w:before="78" w:line="219" w:lineRule="auto"/>
              <w:ind w:left="582"/>
              <w:rPr>
                <w:rFonts w:ascii="宋体" w:hAnsi="宋体" w:eastAsia="宋体" w:cs="宋体"/>
                <w:color w:val="auto"/>
                <w:sz w:val="24"/>
                <w:szCs w:val="24"/>
              </w:rPr>
            </w:pPr>
            <w:r>
              <w:rPr>
                <w:rFonts w:ascii="宋体" w:hAnsi="宋体" w:eastAsia="宋体" w:cs="宋体"/>
                <w:color w:val="auto"/>
                <w:spacing w:val="2"/>
                <w:sz w:val="24"/>
                <w:szCs w:val="24"/>
              </w:rPr>
              <w:t>资金管理</w:t>
            </w:r>
          </w:p>
        </w:tc>
        <w:tc>
          <w:tcPr>
            <w:tcW w:w="1079" w:type="dxa"/>
            <w:vMerge w:val="restart"/>
            <w:tcBorders>
              <w:bottom w:val="nil"/>
            </w:tcBorders>
            <w:vAlign w:val="top"/>
          </w:tcPr>
          <w:p>
            <w:pPr>
              <w:pStyle w:val="23"/>
              <w:spacing w:line="247" w:lineRule="auto"/>
              <w:rPr>
                <w:color w:val="auto"/>
              </w:rPr>
            </w:pPr>
          </w:p>
          <w:p>
            <w:pPr>
              <w:pStyle w:val="23"/>
              <w:spacing w:line="247" w:lineRule="auto"/>
              <w:rPr>
                <w:color w:val="auto"/>
              </w:rPr>
            </w:pPr>
          </w:p>
          <w:p>
            <w:pPr>
              <w:spacing w:before="78"/>
              <w:ind w:left="415"/>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2108" w:type="dxa"/>
            <w:vAlign w:val="top"/>
          </w:tcPr>
          <w:p>
            <w:pPr>
              <w:spacing w:before="92" w:line="219" w:lineRule="auto"/>
              <w:ind w:left="446"/>
              <w:rPr>
                <w:rFonts w:ascii="宋体" w:hAnsi="宋体" w:eastAsia="宋体" w:cs="宋体"/>
                <w:color w:val="auto"/>
                <w:sz w:val="24"/>
                <w:szCs w:val="24"/>
              </w:rPr>
            </w:pPr>
            <w:r>
              <w:rPr>
                <w:rFonts w:ascii="宋体" w:hAnsi="宋体" w:eastAsia="宋体" w:cs="宋体"/>
                <w:color w:val="auto"/>
                <w:spacing w:val="2"/>
                <w:sz w:val="24"/>
                <w:szCs w:val="24"/>
              </w:rPr>
              <w:t>资金到位率</w:t>
            </w:r>
          </w:p>
        </w:tc>
        <w:tc>
          <w:tcPr>
            <w:tcW w:w="509" w:type="dxa"/>
            <w:vAlign w:val="top"/>
          </w:tcPr>
          <w:p>
            <w:pPr>
              <w:spacing w:before="115" w:line="219" w:lineRule="auto"/>
              <w:ind w:left="18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523" w:type="dxa"/>
            <w:vAlign w:val="top"/>
          </w:tcPr>
          <w:p>
            <w:pPr>
              <w:spacing w:before="115" w:line="219" w:lineRule="auto"/>
              <w:ind w:left="69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152" w:type="dxa"/>
            <w:vMerge w:val="continue"/>
            <w:tcBorders>
              <w:top w:val="nil"/>
              <w:bottom w:val="nil"/>
            </w:tcBorders>
            <w:vAlign w:val="top"/>
          </w:tcPr>
          <w:p>
            <w:pPr>
              <w:pStyle w:val="23"/>
              <w:rPr>
                <w:color w:val="auto"/>
              </w:rPr>
            </w:pPr>
          </w:p>
        </w:tc>
        <w:tc>
          <w:tcPr>
            <w:tcW w:w="1398" w:type="dxa"/>
            <w:vMerge w:val="continue"/>
            <w:tcBorders>
              <w:top w:val="nil"/>
              <w:bottom w:val="nil"/>
            </w:tcBorders>
            <w:vAlign w:val="top"/>
          </w:tcPr>
          <w:p>
            <w:pPr>
              <w:pStyle w:val="23"/>
              <w:rPr>
                <w:color w:val="auto"/>
              </w:rPr>
            </w:pPr>
          </w:p>
        </w:tc>
        <w:tc>
          <w:tcPr>
            <w:tcW w:w="2138" w:type="dxa"/>
            <w:vMerge w:val="continue"/>
            <w:tcBorders>
              <w:top w:val="nil"/>
              <w:bottom w:val="nil"/>
            </w:tcBorders>
            <w:vAlign w:val="top"/>
          </w:tcPr>
          <w:p>
            <w:pPr>
              <w:pStyle w:val="23"/>
              <w:rPr>
                <w:color w:val="auto"/>
              </w:rPr>
            </w:pPr>
          </w:p>
        </w:tc>
        <w:tc>
          <w:tcPr>
            <w:tcW w:w="1079" w:type="dxa"/>
            <w:vMerge w:val="continue"/>
            <w:tcBorders>
              <w:top w:val="nil"/>
              <w:bottom w:val="nil"/>
            </w:tcBorders>
            <w:vAlign w:val="top"/>
          </w:tcPr>
          <w:p>
            <w:pPr>
              <w:pStyle w:val="23"/>
              <w:rPr>
                <w:color w:val="auto"/>
              </w:rPr>
            </w:pPr>
          </w:p>
        </w:tc>
        <w:tc>
          <w:tcPr>
            <w:tcW w:w="2108" w:type="dxa"/>
            <w:vAlign w:val="top"/>
          </w:tcPr>
          <w:p>
            <w:pPr>
              <w:spacing w:before="122" w:line="219" w:lineRule="auto"/>
              <w:ind w:left="446"/>
              <w:rPr>
                <w:rFonts w:ascii="宋体" w:hAnsi="宋体" w:eastAsia="宋体" w:cs="宋体"/>
                <w:color w:val="auto"/>
                <w:sz w:val="24"/>
                <w:szCs w:val="24"/>
              </w:rPr>
            </w:pPr>
            <w:r>
              <w:rPr>
                <w:rFonts w:ascii="宋体" w:hAnsi="宋体" w:eastAsia="宋体" w:cs="宋体"/>
                <w:color w:val="auto"/>
                <w:spacing w:val="2"/>
                <w:sz w:val="24"/>
                <w:szCs w:val="24"/>
              </w:rPr>
              <w:t>预算执行率</w:t>
            </w:r>
          </w:p>
        </w:tc>
        <w:tc>
          <w:tcPr>
            <w:tcW w:w="509" w:type="dxa"/>
            <w:vAlign w:val="top"/>
          </w:tcPr>
          <w:p>
            <w:pPr>
              <w:spacing w:before="145"/>
              <w:ind w:left="188"/>
              <w:rPr>
                <w:rFonts w:ascii="宋体" w:hAnsi="宋体" w:eastAsia="宋体" w:cs="宋体"/>
                <w:color w:val="auto"/>
                <w:sz w:val="24"/>
                <w:szCs w:val="24"/>
              </w:rPr>
            </w:pPr>
            <w:r>
              <w:rPr>
                <w:rFonts w:ascii="宋体" w:hAnsi="宋体" w:eastAsia="宋体" w:cs="宋体"/>
                <w:color w:val="auto"/>
                <w:sz w:val="24"/>
                <w:szCs w:val="24"/>
              </w:rPr>
              <w:t>5</w:t>
            </w:r>
          </w:p>
        </w:tc>
        <w:tc>
          <w:tcPr>
            <w:tcW w:w="1523" w:type="dxa"/>
            <w:vAlign w:val="top"/>
          </w:tcPr>
          <w:p>
            <w:pPr>
              <w:spacing w:before="145" w:line="241" w:lineRule="auto"/>
              <w:ind w:left="69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152" w:type="dxa"/>
            <w:vMerge w:val="continue"/>
            <w:tcBorders>
              <w:top w:val="nil"/>
              <w:bottom w:val="nil"/>
            </w:tcBorders>
            <w:vAlign w:val="top"/>
          </w:tcPr>
          <w:p>
            <w:pPr>
              <w:pStyle w:val="23"/>
              <w:rPr>
                <w:color w:val="auto"/>
              </w:rPr>
            </w:pPr>
          </w:p>
        </w:tc>
        <w:tc>
          <w:tcPr>
            <w:tcW w:w="1398" w:type="dxa"/>
            <w:vMerge w:val="continue"/>
            <w:tcBorders>
              <w:top w:val="nil"/>
              <w:bottom w:val="nil"/>
            </w:tcBorders>
            <w:vAlign w:val="top"/>
          </w:tcPr>
          <w:p>
            <w:pPr>
              <w:pStyle w:val="23"/>
              <w:rPr>
                <w:color w:val="auto"/>
              </w:rPr>
            </w:pPr>
          </w:p>
        </w:tc>
        <w:tc>
          <w:tcPr>
            <w:tcW w:w="2138" w:type="dxa"/>
            <w:vMerge w:val="continue"/>
            <w:tcBorders>
              <w:top w:val="nil"/>
            </w:tcBorders>
            <w:vAlign w:val="top"/>
          </w:tcPr>
          <w:p>
            <w:pPr>
              <w:pStyle w:val="23"/>
              <w:rPr>
                <w:color w:val="auto"/>
              </w:rPr>
            </w:pPr>
          </w:p>
        </w:tc>
        <w:tc>
          <w:tcPr>
            <w:tcW w:w="1079" w:type="dxa"/>
            <w:vMerge w:val="continue"/>
            <w:tcBorders>
              <w:top w:val="nil"/>
            </w:tcBorders>
            <w:vAlign w:val="top"/>
          </w:tcPr>
          <w:p>
            <w:pPr>
              <w:pStyle w:val="23"/>
              <w:rPr>
                <w:color w:val="auto"/>
              </w:rPr>
            </w:pPr>
          </w:p>
        </w:tc>
        <w:tc>
          <w:tcPr>
            <w:tcW w:w="2108" w:type="dxa"/>
            <w:vAlign w:val="top"/>
          </w:tcPr>
          <w:p>
            <w:pPr>
              <w:spacing w:before="103" w:line="219" w:lineRule="auto"/>
              <w:ind w:left="206"/>
              <w:rPr>
                <w:rFonts w:ascii="宋体" w:hAnsi="宋体" w:eastAsia="宋体" w:cs="宋体"/>
                <w:color w:val="auto"/>
                <w:sz w:val="24"/>
                <w:szCs w:val="24"/>
              </w:rPr>
            </w:pPr>
            <w:r>
              <w:rPr>
                <w:rFonts w:ascii="宋体" w:hAnsi="宋体" w:eastAsia="宋体" w:cs="宋体"/>
                <w:color w:val="auto"/>
                <w:spacing w:val="1"/>
                <w:sz w:val="24"/>
                <w:szCs w:val="24"/>
              </w:rPr>
              <w:t>资金使用合规性</w:t>
            </w:r>
          </w:p>
        </w:tc>
        <w:tc>
          <w:tcPr>
            <w:tcW w:w="509" w:type="dxa"/>
            <w:vAlign w:val="top"/>
          </w:tcPr>
          <w:p>
            <w:pPr>
              <w:spacing w:before="126" w:line="225" w:lineRule="auto"/>
              <w:ind w:left="188"/>
              <w:rPr>
                <w:rFonts w:ascii="宋体" w:hAnsi="宋体" w:eastAsia="宋体" w:cs="宋体"/>
                <w:color w:val="auto"/>
                <w:sz w:val="24"/>
                <w:szCs w:val="24"/>
              </w:rPr>
            </w:pPr>
            <w:r>
              <w:rPr>
                <w:rFonts w:ascii="宋体" w:hAnsi="宋体" w:eastAsia="宋体" w:cs="宋体"/>
                <w:color w:val="auto"/>
                <w:sz w:val="24"/>
                <w:szCs w:val="24"/>
              </w:rPr>
              <w:t>8</w:t>
            </w:r>
          </w:p>
        </w:tc>
        <w:tc>
          <w:tcPr>
            <w:tcW w:w="1523" w:type="dxa"/>
            <w:vAlign w:val="top"/>
          </w:tcPr>
          <w:p>
            <w:pPr>
              <w:spacing w:before="126" w:line="225" w:lineRule="auto"/>
              <w:ind w:left="698"/>
              <w:rPr>
                <w:rFonts w:ascii="宋体" w:hAnsi="宋体" w:eastAsia="宋体" w:cs="宋体"/>
                <w:color w:val="auto"/>
                <w:sz w:val="24"/>
                <w:szCs w:val="24"/>
              </w:rPr>
            </w:pPr>
            <w:r>
              <w:rPr>
                <w:rFonts w:ascii="宋体" w:hAnsi="宋体" w:eastAsia="宋体" w:cs="宋体"/>
                <w:color w:val="auto"/>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152" w:type="dxa"/>
            <w:vMerge w:val="continue"/>
            <w:tcBorders>
              <w:top w:val="nil"/>
              <w:bottom w:val="nil"/>
            </w:tcBorders>
            <w:vAlign w:val="top"/>
          </w:tcPr>
          <w:p>
            <w:pPr>
              <w:pStyle w:val="23"/>
              <w:rPr>
                <w:color w:val="auto"/>
              </w:rPr>
            </w:pPr>
          </w:p>
        </w:tc>
        <w:tc>
          <w:tcPr>
            <w:tcW w:w="1398" w:type="dxa"/>
            <w:vMerge w:val="continue"/>
            <w:tcBorders>
              <w:top w:val="nil"/>
              <w:bottom w:val="nil"/>
            </w:tcBorders>
            <w:vAlign w:val="top"/>
          </w:tcPr>
          <w:p>
            <w:pPr>
              <w:pStyle w:val="23"/>
              <w:rPr>
                <w:color w:val="auto"/>
              </w:rPr>
            </w:pPr>
          </w:p>
        </w:tc>
        <w:tc>
          <w:tcPr>
            <w:tcW w:w="2138" w:type="dxa"/>
            <w:vMerge w:val="restart"/>
            <w:tcBorders>
              <w:bottom w:val="nil"/>
            </w:tcBorders>
            <w:vAlign w:val="top"/>
          </w:tcPr>
          <w:p>
            <w:pPr>
              <w:pStyle w:val="23"/>
              <w:spacing w:line="264" w:lineRule="auto"/>
              <w:rPr>
                <w:color w:val="auto"/>
              </w:rPr>
            </w:pPr>
          </w:p>
          <w:p>
            <w:pPr>
              <w:spacing w:before="78" w:line="220" w:lineRule="auto"/>
              <w:ind w:left="582"/>
              <w:rPr>
                <w:rFonts w:ascii="宋体" w:hAnsi="宋体" w:eastAsia="宋体" w:cs="宋体"/>
                <w:color w:val="auto"/>
                <w:sz w:val="24"/>
                <w:szCs w:val="24"/>
              </w:rPr>
            </w:pPr>
            <w:r>
              <w:rPr>
                <w:rFonts w:ascii="宋体" w:hAnsi="宋体" w:eastAsia="宋体" w:cs="宋体"/>
                <w:color w:val="auto"/>
                <w:spacing w:val="2"/>
                <w:sz w:val="24"/>
                <w:szCs w:val="24"/>
              </w:rPr>
              <w:t>组织实施</w:t>
            </w:r>
          </w:p>
        </w:tc>
        <w:tc>
          <w:tcPr>
            <w:tcW w:w="1079" w:type="dxa"/>
            <w:vMerge w:val="restart"/>
            <w:tcBorders>
              <w:bottom w:val="nil"/>
            </w:tcBorders>
            <w:vAlign w:val="top"/>
          </w:tcPr>
          <w:p>
            <w:pPr>
              <w:pStyle w:val="23"/>
              <w:spacing w:line="287" w:lineRule="auto"/>
              <w:rPr>
                <w:color w:val="auto"/>
              </w:rPr>
            </w:pPr>
          </w:p>
          <w:p>
            <w:pPr>
              <w:spacing w:before="78"/>
              <w:ind w:left="415"/>
              <w:rPr>
                <w:rFonts w:ascii="宋体" w:hAnsi="宋体" w:eastAsia="宋体" w:cs="宋体"/>
                <w:color w:val="auto"/>
                <w:sz w:val="24"/>
                <w:szCs w:val="24"/>
              </w:rPr>
            </w:pPr>
            <w:r>
              <w:rPr>
                <w:rFonts w:ascii="宋体" w:hAnsi="宋体" w:eastAsia="宋体" w:cs="宋体"/>
                <w:color w:val="auto"/>
                <w:spacing w:val="-7"/>
                <w:sz w:val="24"/>
                <w:szCs w:val="24"/>
              </w:rPr>
              <w:t>10</w:t>
            </w:r>
          </w:p>
        </w:tc>
        <w:tc>
          <w:tcPr>
            <w:tcW w:w="2108" w:type="dxa"/>
            <w:vAlign w:val="top"/>
          </w:tcPr>
          <w:p>
            <w:pPr>
              <w:spacing w:before="114" w:line="219" w:lineRule="auto"/>
              <w:ind w:left="206"/>
              <w:rPr>
                <w:rFonts w:ascii="宋体" w:hAnsi="宋体" w:eastAsia="宋体" w:cs="宋体"/>
                <w:color w:val="auto"/>
                <w:sz w:val="24"/>
                <w:szCs w:val="24"/>
              </w:rPr>
            </w:pPr>
            <w:r>
              <w:rPr>
                <w:rFonts w:ascii="宋体" w:hAnsi="宋体" w:eastAsia="宋体" w:cs="宋体"/>
                <w:color w:val="auto"/>
                <w:spacing w:val="1"/>
                <w:sz w:val="24"/>
                <w:szCs w:val="24"/>
              </w:rPr>
              <w:t>管理制度健全性</w:t>
            </w:r>
          </w:p>
        </w:tc>
        <w:tc>
          <w:tcPr>
            <w:tcW w:w="509" w:type="dxa"/>
            <w:vAlign w:val="top"/>
          </w:tcPr>
          <w:p>
            <w:pPr>
              <w:spacing w:before="137"/>
              <w:ind w:left="188"/>
              <w:rPr>
                <w:rFonts w:ascii="宋体" w:hAnsi="宋体" w:eastAsia="宋体" w:cs="宋体"/>
                <w:color w:val="auto"/>
                <w:sz w:val="24"/>
                <w:szCs w:val="24"/>
              </w:rPr>
            </w:pPr>
            <w:r>
              <w:rPr>
                <w:rFonts w:ascii="宋体" w:hAnsi="宋体" w:eastAsia="宋体" w:cs="宋体"/>
                <w:color w:val="auto"/>
                <w:sz w:val="24"/>
                <w:szCs w:val="24"/>
              </w:rPr>
              <w:t>5</w:t>
            </w:r>
          </w:p>
        </w:tc>
        <w:tc>
          <w:tcPr>
            <w:tcW w:w="1523" w:type="dxa"/>
            <w:vAlign w:val="top"/>
          </w:tcPr>
          <w:p>
            <w:pPr>
              <w:spacing w:before="138"/>
              <w:ind w:left="69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152" w:type="dxa"/>
            <w:vMerge w:val="continue"/>
            <w:tcBorders>
              <w:top w:val="nil"/>
            </w:tcBorders>
            <w:vAlign w:val="top"/>
          </w:tcPr>
          <w:p>
            <w:pPr>
              <w:pStyle w:val="23"/>
              <w:rPr>
                <w:color w:val="auto"/>
              </w:rPr>
            </w:pPr>
          </w:p>
        </w:tc>
        <w:tc>
          <w:tcPr>
            <w:tcW w:w="1398" w:type="dxa"/>
            <w:vMerge w:val="continue"/>
            <w:tcBorders>
              <w:top w:val="nil"/>
            </w:tcBorders>
            <w:vAlign w:val="top"/>
          </w:tcPr>
          <w:p>
            <w:pPr>
              <w:pStyle w:val="23"/>
              <w:rPr>
                <w:color w:val="auto"/>
              </w:rPr>
            </w:pPr>
          </w:p>
        </w:tc>
        <w:tc>
          <w:tcPr>
            <w:tcW w:w="2138" w:type="dxa"/>
            <w:vMerge w:val="continue"/>
            <w:tcBorders>
              <w:top w:val="nil"/>
            </w:tcBorders>
            <w:vAlign w:val="top"/>
          </w:tcPr>
          <w:p>
            <w:pPr>
              <w:pStyle w:val="23"/>
              <w:rPr>
                <w:color w:val="auto"/>
              </w:rPr>
            </w:pPr>
          </w:p>
        </w:tc>
        <w:tc>
          <w:tcPr>
            <w:tcW w:w="1079" w:type="dxa"/>
            <w:vMerge w:val="continue"/>
            <w:tcBorders>
              <w:top w:val="nil"/>
            </w:tcBorders>
            <w:vAlign w:val="top"/>
          </w:tcPr>
          <w:p>
            <w:pPr>
              <w:pStyle w:val="23"/>
              <w:rPr>
                <w:color w:val="auto"/>
              </w:rPr>
            </w:pPr>
          </w:p>
        </w:tc>
        <w:tc>
          <w:tcPr>
            <w:tcW w:w="2108" w:type="dxa"/>
            <w:vAlign w:val="top"/>
          </w:tcPr>
          <w:p>
            <w:pPr>
              <w:spacing w:before="104" w:line="219" w:lineRule="auto"/>
              <w:ind w:left="206"/>
              <w:rPr>
                <w:rFonts w:ascii="宋体" w:hAnsi="宋体" w:eastAsia="宋体" w:cs="宋体"/>
                <w:color w:val="auto"/>
                <w:sz w:val="24"/>
                <w:szCs w:val="24"/>
              </w:rPr>
            </w:pPr>
            <w:r>
              <w:rPr>
                <w:rFonts w:ascii="宋体" w:hAnsi="宋体" w:eastAsia="宋体" w:cs="宋体"/>
                <w:color w:val="auto"/>
                <w:spacing w:val="-2"/>
                <w:sz w:val="24"/>
                <w:szCs w:val="24"/>
              </w:rPr>
              <w:t>制度执行有效性</w:t>
            </w:r>
          </w:p>
        </w:tc>
        <w:tc>
          <w:tcPr>
            <w:tcW w:w="509" w:type="dxa"/>
            <w:vAlign w:val="top"/>
          </w:tcPr>
          <w:p>
            <w:pPr>
              <w:spacing w:before="128" w:line="232" w:lineRule="auto"/>
              <w:ind w:left="188"/>
              <w:rPr>
                <w:rFonts w:ascii="宋体" w:hAnsi="宋体" w:eastAsia="宋体" w:cs="宋体"/>
                <w:color w:val="auto"/>
                <w:sz w:val="24"/>
                <w:szCs w:val="24"/>
              </w:rPr>
            </w:pPr>
            <w:r>
              <w:rPr>
                <w:rFonts w:ascii="宋体" w:hAnsi="宋体" w:eastAsia="宋体" w:cs="宋体"/>
                <w:color w:val="auto"/>
                <w:sz w:val="24"/>
                <w:szCs w:val="24"/>
              </w:rPr>
              <w:t>5</w:t>
            </w:r>
          </w:p>
        </w:tc>
        <w:tc>
          <w:tcPr>
            <w:tcW w:w="1523" w:type="dxa"/>
            <w:vAlign w:val="top"/>
          </w:tcPr>
          <w:p>
            <w:pPr>
              <w:spacing w:before="128" w:line="232" w:lineRule="auto"/>
              <w:ind w:left="698"/>
              <w:rPr>
                <w:rFonts w:ascii="宋体" w:hAnsi="宋体" w:eastAsia="宋体" w:cs="宋体"/>
                <w:color w:val="auto"/>
                <w:sz w:val="24"/>
                <w:szCs w:val="24"/>
              </w:rPr>
            </w:pPr>
            <w:r>
              <w:rPr>
                <w:rFonts w:ascii="宋体" w:hAnsi="宋体" w:eastAsia="宋体" w:cs="宋体"/>
                <w:color w:val="auto"/>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1152" w:type="dxa"/>
            <w:vMerge w:val="restart"/>
            <w:tcBorders>
              <w:bottom w:val="nil"/>
            </w:tcBorders>
            <w:vAlign w:val="top"/>
          </w:tcPr>
          <w:p>
            <w:pPr>
              <w:pStyle w:val="23"/>
              <w:spacing w:line="261" w:lineRule="auto"/>
              <w:rPr>
                <w:color w:val="auto"/>
              </w:rPr>
            </w:pPr>
          </w:p>
          <w:p>
            <w:pPr>
              <w:pStyle w:val="23"/>
              <w:spacing w:line="261" w:lineRule="auto"/>
              <w:rPr>
                <w:color w:val="auto"/>
              </w:rPr>
            </w:pPr>
          </w:p>
          <w:p>
            <w:pPr>
              <w:pStyle w:val="23"/>
              <w:spacing w:line="262" w:lineRule="auto"/>
              <w:rPr>
                <w:color w:val="auto"/>
              </w:rPr>
            </w:pPr>
          </w:p>
          <w:p>
            <w:pPr>
              <w:pStyle w:val="23"/>
              <w:spacing w:line="262" w:lineRule="auto"/>
              <w:rPr>
                <w:color w:val="auto"/>
              </w:rPr>
            </w:pPr>
          </w:p>
          <w:p>
            <w:pPr>
              <w:pStyle w:val="23"/>
              <w:spacing w:line="262" w:lineRule="auto"/>
              <w:rPr>
                <w:color w:val="auto"/>
              </w:rPr>
            </w:pPr>
          </w:p>
          <w:p>
            <w:pPr>
              <w:spacing w:before="78" w:line="220" w:lineRule="auto"/>
              <w:ind w:left="44"/>
              <w:rPr>
                <w:rFonts w:ascii="宋体" w:hAnsi="宋体" w:eastAsia="宋体" w:cs="宋体"/>
                <w:color w:val="auto"/>
                <w:sz w:val="24"/>
                <w:szCs w:val="24"/>
              </w:rPr>
            </w:pPr>
            <w:r>
              <w:rPr>
                <w:rFonts w:ascii="宋体" w:hAnsi="宋体" w:eastAsia="宋体" w:cs="宋体"/>
                <w:color w:val="auto"/>
                <w:spacing w:val="2"/>
                <w:sz w:val="24"/>
                <w:szCs w:val="24"/>
              </w:rPr>
              <w:t>项目绩效</w:t>
            </w:r>
          </w:p>
        </w:tc>
        <w:tc>
          <w:tcPr>
            <w:tcW w:w="1398" w:type="dxa"/>
            <w:vMerge w:val="restart"/>
            <w:tcBorders>
              <w:bottom w:val="nil"/>
            </w:tcBorders>
            <w:vAlign w:val="top"/>
          </w:tcPr>
          <w:p>
            <w:pPr>
              <w:pStyle w:val="23"/>
              <w:spacing w:line="266" w:lineRule="auto"/>
              <w:rPr>
                <w:color w:val="auto"/>
              </w:rPr>
            </w:pPr>
          </w:p>
          <w:p>
            <w:pPr>
              <w:pStyle w:val="23"/>
              <w:spacing w:line="266" w:lineRule="auto"/>
              <w:rPr>
                <w:color w:val="auto"/>
              </w:rPr>
            </w:pPr>
          </w:p>
          <w:p>
            <w:pPr>
              <w:pStyle w:val="23"/>
              <w:spacing w:line="266" w:lineRule="auto"/>
              <w:rPr>
                <w:color w:val="auto"/>
              </w:rPr>
            </w:pPr>
          </w:p>
          <w:p>
            <w:pPr>
              <w:pStyle w:val="23"/>
              <w:spacing w:line="266" w:lineRule="auto"/>
              <w:rPr>
                <w:color w:val="auto"/>
              </w:rPr>
            </w:pPr>
          </w:p>
          <w:p>
            <w:pPr>
              <w:pStyle w:val="23"/>
              <w:spacing w:line="267" w:lineRule="auto"/>
              <w:rPr>
                <w:color w:val="auto"/>
              </w:rPr>
            </w:pPr>
          </w:p>
          <w:p>
            <w:pPr>
              <w:spacing w:before="78"/>
              <w:ind w:left="571"/>
              <w:rPr>
                <w:rFonts w:ascii="宋体" w:hAnsi="宋体" w:eastAsia="宋体" w:cs="宋体"/>
                <w:color w:val="auto"/>
                <w:sz w:val="24"/>
                <w:szCs w:val="24"/>
              </w:rPr>
            </w:pPr>
            <w:r>
              <w:rPr>
                <w:rFonts w:hint="eastAsia" w:ascii="宋体" w:hAnsi="宋体" w:eastAsia="宋体" w:cs="宋体"/>
                <w:color w:val="auto"/>
                <w:spacing w:val="-4"/>
                <w:sz w:val="24"/>
                <w:szCs w:val="24"/>
                <w:lang w:val="en-US" w:eastAsia="zh-CN"/>
              </w:rPr>
              <w:t>6</w:t>
            </w:r>
            <w:r>
              <w:rPr>
                <w:rFonts w:ascii="宋体" w:hAnsi="宋体" w:eastAsia="宋体" w:cs="宋体"/>
                <w:color w:val="auto"/>
                <w:spacing w:val="-4"/>
                <w:sz w:val="24"/>
                <w:szCs w:val="24"/>
              </w:rPr>
              <w:t>0</w:t>
            </w:r>
          </w:p>
        </w:tc>
        <w:tc>
          <w:tcPr>
            <w:tcW w:w="2138" w:type="dxa"/>
            <w:vAlign w:val="top"/>
          </w:tcPr>
          <w:p>
            <w:pPr>
              <w:spacing w:before="202" w:line="219" w:lineRule="auto"/>
              <w:ind w:left="582"/>
              <w:rPr>
                <w:rFonts w:hint="eastAsia" w:ascii="宋体" w:hAnsi="宋体" w:eastAsia="宋体" w:cs="宋体"/>
                <w:color w:val="auto"/>
                <w:sz w:val="24"/>
                <w:szCs w:val="24"/>
                <w:lang w:val="en-US" w:eastAsia="zh-CN"/>
              </w:rPr>
            </w:pPr>
            <w:r>
              <w:rPr>
                <w:rFonts w:ascii="宋体" w:hAnsi="宋体" w:eastAsia="宋体" w:cs="宋体"/>
                <w:color w:val="auto"/>
                <w:spacing w:val="2"/>
                <w:sz w:val="24"/>
                <w:szCs w:val="24"/>
              </w:rPr>
              <w:t>项目</w:t>
            </w:r>
            <w:r>
              <w:rPr>
                <w:rFonts w:hint="eastAsia" w:ascii="宋体" w:hAnsi="宋体" w:eastAsia="宋体" w:cs="宋体"/>
                <w:color w:val="auto"/>
                <w:spacing w:val="2"/>
                <w:sz w:val="24"/>
                <w:szCs w:val="24"/>
                <w:lang w:val="en-US" w:eastAsia="zh-CN"/>
              </w:rPr>
              <w:t>产出</w:t>
            </w:r>
          </w:p>
        </w:tc>
        <w:tc>
          <w:tcPr>
            <w:tcW w:w="1079" w:type="dxa"/>
            <w:vAlign w:val="top"/>
          </w:tcPr>
          <w:p>
            <w:pPr>
              <w:spacing w:before="227" w:line="241" w:lineRule="auto"/>
              <w:ind w:left="415"/>
              <w:rPr>
                <w:rFonts w:hint="eastAsia" w:ascii="宋体" w:hAnsi="宋体" w:eastAsia="宋体" w:cs="宋体"/>
                <w:color w:val="auto"/>
                <w:sz w:val="24"/>
                <w:szCs w:val="24"/>
                <w:lang w:eastAsia="zh-CN"/>
              </w:rPr>
            </w:pPr>
            <w:r>
              <w:rPr>
                <w:rFonts w:ascii="宋体" w:hAnsi="宋体" w:eastAsia="宋体" w:cs="宋体"/>
                <w:color w:val="auto"/>
                <w:spacing w:val="-7"/>
                <w:sz w:val="24"/>
                <w:szCs w:val="24"/>
              </w:rPr>
              <w:t>1</w:t>
            </w:r>
            <w:r>
              <w:rPr>
                <w:rFonts w:hint="eastAsia" w:ascii="宋体" w:hAnsi="宋体" w:eastAsia="宋体" w:cs="宋体"/>
                <w:color w:val="auto"/>
                <w:spacing w:val="-7"/>
                <w:sz w:val="24"/>
                <w:szCs w:val="24"/>
                <w:lang w:val="en-US" w:eastAsia="zh-CN"/>
              </w:rPr>
              <w:t>5</w:t>
            </w:r>
          </w:p>
        </w:tc>
        <w:tc>
          <w:tcPr>
            <w:tcW w:w="2108" w:type="dxa"/>
            <w:vAlign w:val="top"/>
          </w:tcPr>
          <w:p>
            <w:pPr>
              <w:spacing w:before="104" w:line="219" w:lineRule="auto"/>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案</w:t>
            </w:r>
            <w:r>
              <w:rPr>
                <w:rFonts w:hint="eastAsia" w:ascii="宋体" w:hAnsi="宋体" w:eastAsia="宋体" w:cs="宋体"/>
                <w:color w:val="auto"/>
                <w:spacing w:val="-2"/>
                <w:sz w:val="24"/>
                <w:szCs w:val="24"/>
                <w:lang w:val="en-US" w:eastAsia="en-US"/>
              </w:rPr>
              <w:t>卷扫描页数</w:t>
            </w:r>
          </w:p>
        </w:tc>
        <w:tc>
          <w:tcPr>
            <w:tcW w:w="509" w:type="dxa"/>
            <w:vAlign w:val="top"/>
          </w:tcPr>
          <w:p>
            <w:pPr>
              <w:spacing w:before="227" w:line="241" w:lineRule="auto"/>
              <w:ind w:left="128"/>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1523" w:type="dxa"/>
            <w:vAlign w:val="top"/>
          </w:tcPr>
          <w:p>
            <w:pPr>
              <w:spacing w:before="227" w:line="241" w:lineRule="auto"/>
              <w:ind w:left="638"/>
              <w:rPr>
                <w:rFonts w:hint="eastAsia" w:ascii="宋体" w:hAnsi="宋体" w:eastAsia="宋体" w:cs="宋体"/>
                <w:color w:val="auto"/>
                <w:sz w:val="24"/>
                <w:szCs w:val="24"/>
                <w:lang w:val="en-US" w:eastAsia="zh-CN"/>
              </w:rPr>
            </w:pPr>
            <w:r>
              <w:rPr>
                <w:rFonts w:ascii="宋体" w:hAnsi="宋体" w:eastAsia="宋体" w:cs="宋体"/>
                <w:color w:val="auto"/>
                <w:spacing w:val="-7"/>
                <w:sz w:val="24"/>
                <w:szCs w:val="24"/>
              </w:rPr>
              <w:t>1</w:t>
            </w:r>
            <w:r>
              <w:rPr>
                <w:rFonts w:hint="eastAsia" w:ascii="宋体" w:hAnsi="宋体" w:eastAsia="宋体" w:cs="宋体"/>
                <w:color w:val="auto"/>
                <w:spacing w:val="-7"/>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1152" w:type="dxa"/>
            <w:vMerge w:val="continue"/>
            <w:tcBorders>
              <w:top w:val="nil"/>
              <w:bottom w:val="nil"/>
            </w:tcBorders>
            <w:vAlign w:val="top"/>
          </w:tcPr>
          <w:p>
            <w:pPr>
              <w:pStyle w:val="23"/>
              <w:rPr>
                <w:color w:val="auto"/>
              </w:rPr>
            </w:pPr>
          </w:p>
        </w:tc>
        <w:tc>
          <w:tcPr>
            <w:tcW w:w="1398" w:type="dxa"/>
            <w:vMerge w:val="continue"/>
            <w:tcBorders>
              <w:top w:val="nil"/>
              <w:bottom w:val="nil"/>
            </w:tcBorders>
            <w:vAlign w:val="top"/>
          </w:tcPr>
          <w:p>
            <w:pPr>
              <w:pStyle w:val="23"/>
              <w:rPr>
                <w:color w:val="auto"/>
              </w:rPr>
            </w:pPr>
          </w:p>
        </w:tc>
        <w:tc>
          <w:tcPr>
            <w:tcW w:w="2138" w:type="dxa"/>
            <w:vAlign w:val="top"/>
          </w:tcPr>
          <w:p>
            <w:pPr>
              <w:spacing w:before="184" w:line="219" w:lineRule="auto"/>
              <w:ind w:left="582"/>
              <w:rPr>
                <w:rFonts w:ascii="宋体" w:hAnsi="宋体" w:eastAsia="宋体" w:cs="宋体"/>
                <w:color w:val="auto"/>
                <w:sz w:val="24"/>
                <w:szCs w:val="24"/>
              </w:rPr>
            </w:pPr>
            <w:r>
              <w:rPr>
                <w:rFonts w:ascii="宋体" w:hAnsi="宋体" w:eastAsia="宋体" w:cs="宋体"/>
                <w:color w:val="auto"/>
                <w:spacing w:val="7"/>
                <w:sz w:val="24"/>
                <w:szCs w:val="24"/>
              </w:rPr>
              <w:t>项目产出</w:t>
            </w:r>
          </w:p>
        </w:tc>
        <w:tc>
          <w:tcPr>
            <w:tcW w:w="1079" w:type="dxa"/>
            <w:vAlign w:val="top"/>
          </w:tcPr>
          <w:p>
            <w:pPr>
              <w:spacing w:before="208"/>
              <w:ind w:left="415"/>
              <w:rPr>
                <w:rFonts w:hint="eastAsia" w:ascii="宋体" w:hAnsi="宋体" w:eastAsia="宋体" w:cs="宋体"/>
                <w:color w:val="auto"/>
                <w:sz w:val="24"/>
                <w:szCs w:val="24"/>
                <w:lang w:eastAsia="zh-CN"/>
              </w:rPr>
            </w:pPr>
            <w:r>
              <w:rPr>
                <w:rFonts w:ascii="宋体" w:hAnsi="宋体" w:eastAsia="宋体" w:cs="宋体"/>
                <w:color w:val="auto"/>
                <w:spacing w:val="-7"/>
                <w:sz w:val="24"/>
                <w:szCs w:val="24"/>
              </w:rPr>
              <w:t>1</w:t>
            </w:r>
            <w:r>
              <w:rPr>
                <w:rFonts w:hint="eastAsia" w:ascii="宋体" w:hAnsi="宋体" w:eastAsia="宋体" w:cs="宋体"/>
                <w:color w:val="auto"/>
                <w:spacing w:val="-7"/>
                <w:sz w:val="24"/>
                <w:szCs w:val="24"/>
                <w:lang w:val="en-US" w:eastAsia="zh-CN"/>
              </w:rPr>
              <w:t>5</w:t>
            </w:r>
          </w:p>
        </w:tc>
        <w:tc>
          <w:tcPr>
            <w:tcW w:w="2108" w:type="dxa"/>
            <w:vAlign w:val="top"/>
          </w:tcPr>
          <w:p>
            <w:pPr>
              <w:spacing w:before="104" w:line="219" w:lineRule="auto"/>
              <w:jc w:val="center"/>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陪审员补助支持</w:t>
            </w:r>
          </w:p>
          <w:p>
            <w:pPr>
              <w:spacing w:before="104" w:line="219" w:lineRule="auto"/>
              <w:ind w:left="206" w:firstLine="472" w:firstLineChars="200"/>
              <w:rPr>
                <w:rFonts w:ascii="宋体" w:hAnsi="宋体" w:eastAsia="宋体" w:cs="宋体"/>
                <w:color w:val="auto"/>
                <w:spacing w:val="-2"/>
                <w:sz w:val="24"/>
                <w:szCs w:val="24"/>
              </w:rPr>
            </w:pPr>
            <w:r>
              <w:rPr>
                <w:rFonts w:hint="eastAsia" w:ascii="宋体" w:hAnsi="宋体" w:eastAsia="宋体" w:cs="宋体"/>
                <w:color w:val="auto"/>
                <w:spacing w:val="-2"/>
                <w:sz w:val="24"/>
                <w:szCs w:val="24"/>
              </w:rPr>
              <w:t>案件数</w:t>
            </w:r>
          </w:p>
        </w:tc>
        <w:tc>
          <w:tcPr>
            <w:tcW w:w="509" w:type="dxa"/>
            <w:vAlign w:val="top"/>
          </w:tcPr>
          <w:p>
            <w:pPr>
              <w:spacing w:before="208"/>
              <w:ind w:left="128"/>
              <w:rPr>
                <w:rFonts w:hint="eastAsia" w:ascii="宋体" w:hAnsi="宋体" w:eastAsia="宋体" w:cs="宋体"/>
                <w:color w:val="auto"/>
                <w:sz w:val="24"/>
                <w:szCs w:val="24"/>
                <w:lang w:val="en-US" w:eastAsia="zh-CN"/>
              </w:rPr>
            </w:pPr>
            <w:r>
              <w:rPr>
                <w:rFonts w:ascii="宋体" w:hAnsi="宋体" w:eastAsia="宋体" w:cs="宋体"/>
                <w:color w:val="auto"/>
                <w:spacing w:val="-7"/>
                <w:sz w:val="24"/>
                <w:szCs w:val="24"/>
              </w:rPr>
              <w:t>1</w:t>
            </w:r>
            <w:r>
              <w:rPr>
                <w:rFonts w:hint="eastAsia" w:ascii="宋体" w:hAnsi="宋体" w:eastAsia="宋体" w:cs="宋体"/>
                <w:color w:val="auto"/>
                <w:spacing w:val="-7"/>
                <w:sz w:val="24"/>
                <w:szCs w:val="24"/>
                <w:lang w:val="en-US" w:eastAsia="zh-CN"/>
              </w:rPr>
              <w:t>5</w:t>
            </w:r>
          </w:p>
        </w:tc>
        <w:tc>
          <w:tcPr>
            <w:tcW w:w="1523" w:type="dxa"/>
            <w:vAlign w:val="top"/>
          </w:tcPr>
          <w:p>
            <w:pPr>
              <w:spacing w:before="208"/>
              <w:ind w:left="638"/>
              <w:rPr>
                <w:rFonts w:hint="eastAsia" w:ascii="宋体" w:hAnsi="宋体" w:eastAsia="宋体" w:cs="宋体"/>
                <w:color w:val="auto"/>
                <w:sz w:val="24"/>
                <w:szCs w:val="24"/>
                <w:lang w:val="en-US" w:eastAsia="zh-CN"/>
              </w:rPr>
            </w:pPr>
            <w:r>
              <w:rPr>
                <w:rFonts w:ascii="宋体" w:hAnsi="宋体" w:eastAsia="宋体" w:cs="宋体"/>
                <w:color w:val="auto"/>
                <w:spacing w:val="-7"/>
                <w:sz w:val="24"/>
                <w:szCs w:val="24"/>
              </w:rPr>
              <w:t>1</w:t>
            </w:r>
            <w:r>
              <w:rPr>
                <w:rFonts w:hint="eastAsia" w:ascii="宋体" w:hAnsi="宋体" w:eastAsia="宋体" w:cs="宋体"/>
                <w:color w:val="auto"/>
                <w:spacing w:val="-7"/>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152" w:type="dxa"/>
            <w:vMerge w:val="continue"/>
            <w:tcBorders>
              <w:top w:val="nil"/>
              <w:bottom w:val="nil"/>
            </w:tcBorders>
            <w:vAlign w:val="top"/>
          </w:tcPr>
          <w:p>
            <w:pPr>
              <w:pStyle w:val="23"/>
              <w:rPr>
                <w:color w:val="auto"/>
              </w:rPr>
            </w:pPr>
          </w:p>
        </w:tc>
        <w:tc>
          <w:tcPr>
            <w:tcW w:w="1398" w:type="dxa"/>
            <w:vMerge w:val="continue"/>
            <w:tcBorders>
              <w:top w:val="nil"/>
              <w:bottom w:val="nil"/>
            </w:tcBorders>
            <w:vAlign w:val="top"/>
          </w:tcPr>
          <w:p>
            <w:pPr>
              <w:pStyle w:val="23"/>
              <w:rPr>
                <w:color w:val="auto"/>
              </w:rPr>
            </w:pPr>
          </w:p>
        </w:tc>
        <w:tc>
          <w:tcPr>
            <w:tcW w:w="2138" w:type="dxa"/>
            <w:vAlign w:val="top"/>
          </w:tcPr>
          <w:p>
            <w:pPr>
              <w:spacing w:before="306" w:line="220" w:lineRule="auto"/>
              <w:ind w:left="582"/>
              <w:rPr>
                <w:rFonts w:ascii="宋体" w:hAnsi="宋体" w:eastAsia="宋体" w:cs="宋体"/>
                <w:color w:val="auto"/>
                <w:sz w:val="24"/>
                <w:szCs w:val="24"/>
              </w:rPr>
            </w:pPr>
            <w:r>
              <w:rPr>
                <w:rFonts w:ascii="宋体" w:hAnsi="宋体" w:eastAsia="宋体" w:cs="宋体"/>
                <w:color w:val="auto"/>
                <w:spacing w:val="2"/>
                <w:sz w:val="24"/>
                <w:szCs w:val="24"/>
              </w:rPr>
              <w:t>项目效益</w:t>
            </w:r>
          </w:p>
        </w:tc>
        <w:tc>
          <w:tcPr>
            <w:tcW w:w="1079" w:type="dxa"/>
            <w:vAlign w:val="top"/>
          </w:tcPr>
          <w:p>
            <w:pPr>
              <w:pStyle w:val="23"/>
              <w:spacing w:line="249" w:lineRule="auto"/>
              <w:rPr>
                <w:color w:val="auto"/>
              </w:rPr>
            </w:pPr>
          </w:p>
          <w:p>
            <w:pPr>
              <w:spacing w:before="78"/>
              <w:ind w:left="415"/>
              <w:rPr>
                <w:rFonts w:ascii="宋体" w:hAnsi="宋体" w:eastAsia="宋体" w:cs="宋体"/>
                <w:color w:val="auto"/>
                <w:sz w:val="24"/>
                <w:szCs w:val="24"/>
              </w:rPr>
            </w:pPr>
            <w:r>
              <w:rPr>
                <w:rFonts w:ascii="宋体" w:hAnsi="宋体" w:eastAsia="宋体" w:cs="宋体"/>
                <w:color w:val="auto"/>
                <w:spacing w:val="-7"/>
                <w:sz w:val="24"/>
                <w:szCs w:val="24"/>
              </w:rPr>
              <w:t>15</w:t>
            </w:r>
          </w:p>
        </w:tc>
        <w:tc>
          <w:tcPr>
            <w:tcW w:w="2108" w:type="dxa"/>
            <w:vAlign w:val="top"/>
          </w:tcPr>
          <w:p>
            <w:pPr>
              <w:spacing w:before="155" w:line="241" w:lineRule="auto"/>
              <w:ind w:left="685" w:right="100" w:hanging="599"/>
              <w:jc w:val="center"/>
              <w:rPr>
                <w:rFonts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结案率</w:t>
            </w:r>
          </w:p>
        </w:tc>
        <w:tc>
          <w:tcPr>
            <w:tcW w:w="509" w:type="dxa"/>
            <w:vAlign w:val="top"/>
          </w:tcPr>
          <w:p>
            <w:pPr>
              <w:pStyle w:val="23"/>
              <w:spacing w:line="249" w:lineRule="auto"/>
              <w:rPr>
                <w:color w:val="auto"/>
              </w:rPr>
            </w:pPr>
          </w:p>
          <w:p>
            <w:pPr>
              <w:spacing w:before="78"/>
              <w:ind w:left="128"/>
              <w:rPr>
                <w:rFonts w:ascii="宋体" w:hAnsi="宋体" w:eastAsia="宋体" w:cs="宋体"/>
                <w:color w:val="auto"/>
                <w:sz w:val="24"/>
                <w:szCs w:val="24"/>
              </w:rPr>
            </w:pPr>
            <w:r>
              <w:rPr>
                <w:rFonts w:ascii="宋体" w:hAnsi="宋体" w:eastAsia="宋体" w:cs="宋体"/>
                <w:color w:val="auto"/>
                <w:spacing w:val="-7"/>
                <w:sz w:val="24"/>
                <w:szCs w:val="24"/>
              </w:rPr>
              <w:t>15</w:t>
            </w:r>
          </w:p>
        </w:tc>
        <w:tc>
          <w:tcPr>
            <w:tcW w:w="1523" w:type="dxa"/>
            <w:vAlign w:val="top"/>
          </w:tcPr>
          <w:p>
            <w:pPr>
              <w:pStyle w:val="23"/>
              <w:spacing w:line="249" w:lineRule="auto"/>
              <w:rPr>
                <w:color w:val="auto"/>
              </w:rPr>
            </w:pPr>
          </w:p>
          <w:p>
            <w:pPr>
              <w:spacing w:before="78"/>
              <w:ind w:left="638"/>
              <w:rPr>
                <w:rFonts w:ascii="宋体" w:hAnsi="宋体" w:eastAsia="宋体" w:cs="宋体"/>
                <w:color w:val="auto"/>
                <w:sz w:val="24"/>
                <w:szCs w:val="24"/>
              </w:rPr>
            </w:pPr>
            <w:r>
              <w:rPr>
                <w:rFonts w:ascii="宋体" w:hAnsi="宋体" w:eastAsia="宋体" w:cs="宋体"/>
                <w:color w:val="auto"/>
                <w:spacing w:val="-7"/>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152" w:type="dxa"/>
            <w:vMerge w:val="continue"/>
            <w:tcBorders>
              <w:top w:val="nil"/>
            </w:tcBorders>
            <w:vAlign w:val="top"/>
          </w:tcPr>
          <w:p>
            <w:pPr>
              <w:pStyle w:val="23"/>
              <w:rPr>
                <w:color w:val="auto"/>
              </w:rPr>
            </w:pPr>
          </w:p>
        </w:tc>
        <w:tc>
          <w:tcPr>
            <w:tcW w:w="1398" w:type="dxa"/>
            <w:vMerge w:val="continue"/>
            <w:tcBorders>
              <w:top w:val="nil"/>
            </w:tcBorders>
            <w:vAlign w:val="top"/>
          </w:tcPr>
          <w:p>
            <w:pPr>
              <w:pStyle w:val="23"/>
              <w:rPr>
                <w:color w:val="auto"/>
              </w:rPr>
            </w:pPr>
          </w:p>
        </w:tc>
        <w:tc>
          <w:tcPr>
            <w:tcW w:w="2138" w:type="dxa"/>
            <w:vAlign w:val="top"/>
          </w:tcPr>
          <w:p>
            <w:pPr>
              <w:pStyle w:val="23"/>
              <w:spacing w:line="267" w:lineRule="auto"/>
              <w:rPr>
                <w:color w:val="auto"/>
              </w:rPr>
            </w:pPr>
          </w:p>
          <w:p>
            <w:pPr>
              <w:spacing w:before="78" w:line="219" w:lineRule="auto"/>
              <w:ind w:left="463"/>
              <w:rPr>
                <w:rFonts w:ascii="宋体" w:hAnsi="宋体" w:eastAsia="宋体" w:cs="宋体"/>
                <w:color w:val="auto"/>
                <w:sz w:val="24"/>
                <w:szCs w:val="24"/>
              </w:rPr>
            </w:pPr>
            <w:r>
              <w:rPr>
                <w:rFonts w:ascii="宋体" w:hAnsi="宋体" w:eastAsia="宋体" w:cs="宋体"/>
                <w:color w:val="auto"/>
                <w:spacing w:val="-2"/>
                <w:sz w:val="24"/>
                <w:szCs w:val="24"/>
              </w:rPr>
              <w:t>满意度指标</w:t>
            </w:r>
          </w:p>
        </w:tc>
        <w:tc>
          <w:tcPr>
            <w:tcW w:w="1079" w:type="dxa"/>
            <w:vAlign w:val="top"/>
          </w:tcPr>
          <w:p>
            <w:pPr>
              <w:pStyle w:val="23"/>
              <w:spacing w:line="290" w:lineRule="auto"/>
              <w:rPr>
                <w:color w:val="auto"/>
              </w:rPr>
            </w:pPr>
          </w:p>
          <w:p>
            <w:pPr>
              <w:spacing w:before="78"/>
              <w:ind w:left="415"/>
              <w:rPr>
                <w:rFonts w:hint="eastAsia" w:ascii="宋体" w:hAnsi="宋体" w:eastAsia="宋体" w:cs="宋体"/>
                <w:color w:val="auto"/>
                <w:sz w:val="24"/>
                <w:szCs w:val="24"/>
                <w:lang w:eastAsia="zh-CN"/>
              </w:rPr>
            </w:pPr>
            <w:r>
              <w:rPr>
                <w:rFonts w:ascii="宋体" w:hAnsi="宋体" w:eastAsia="宋体" w:cs="宋体"/>
                <w:color w:val="auto"/>
                <w:spacing w:val="-7"/>
                <w:sz w:val="24"/>
                <w:szCs w:val="24"/>
              </w:rPr>
              <w:t>1</w:t>
            </w:r>
            <w:r>
              <w:rPr>
                <w:rFonts w:hint="eastAsia" w:ascii="宋体" w:hAnsi="宋体" w:eastAsia="宋体" w:cs="宋体"/>
                <w:color w:val="auto"/>
                <w:spacing w:val="-7"/>
                <w:sz w:val="24"/>
                <w:szCs w:val="24"/>
                <w:lang w:val="en-US" w:eastAsia="zh-CN"/>
              </w:rPr>
              <w:t>5</w:t>
            </w:r>
          </w:p>
        </w:tc>
        <w:tc>
          <w:tcPr>
            <w:tcW w:w="2108" w:type="dxa"/>
            <w:vAlign w:val="top"/>
          </w:tcPr>
          <w:p>
            <w:pPr>
              <w:pStyle w:val="23"/>
              <w:spacing w:line="267" w:lineRule="auto"/>
              <w:rPr>
                <w:color w:val="auto"/>
              </w:rPr>
            </w:pPr>
          </w:p>
          <w:p>
            <w:pPr>
              <w:spacing w:before="78" w:line="219" w:lineRule="auto"/>
              <w:ind w:left="325"/>
              <w:rPr>
                <w:rFonts w:ascii="宋体" w:hAnsi="宋体" w:eastAsia="宋体" w:cs="宋体"/>
                <w:color w:val="auto"/>
                <w:sz w:val="24"/>
                <w:szCs w:val="24"/>
              </w:rPr>
            </w:pPr>
            <w:r>
              <w:rPr>
                <w:rFonts w:ascii="宋体" w:hAnsi="宋体" w:eastAsia="宋体" w:cs="宋体"/>
                <w:color w:val="auto"/>
                <w:spacing w:val="2"/>
                <w:sz w:val="24"/>
                <w:szCs w:val="24"/>
              </w:rPr>
              <w:t>使用者满意度</w:t>
            </w:r>
          </w:p>
        </w:tc>
        <w:tc>
          <w:tcPr>
            <w:tcW w:w="509" w:type="dxa"/>
            <w:vAlign w:val="top"/>
          </w:tcPr>
          <w:p>
            <w:pPr>
              <w:pStyle w:val="23"/>
              <w:spacing w:line="290" w:lineRule="auto"/>
              <w:rPr>
                <w:color w:val="auto"/>
              </w:rPr>
            </w:pPr>
          </w:p>
          <w:p>
            <w:pPr>
              <w:spacing w:before="78"/>
              <w:ind w:left="128"/>
              <w:rPr>
                <w:rFonts w:hint="eastAsia" w:ascii="宋体" w:hAnsi="宋体" w:eastAsia="宋体" w:cs="宋体"/>
                <w:color w:val="auto"/>
                <w:sz w:val="24"/>
                <w:szCs w:val="24"/>
                <w:lang w:val="en-US" w:eastAsia="zh-CN"/>
              </w:rPr>
            </w:pPr>
            <w:r>
              <w:rPr>
                <w:rFonts w:ascii="宋体" w:hAnsi="宋体" w:eastAsia="宋体" w:cs="宋体"/>
                <w:color w:val="auto"/>
                <w:spacing w:val="-7"/>
                <w:sz w:val="24"/>
                <w:szCs w:val="24"/>
              </w:rPr>
              <w:t>1</w:t>
            </w:r>
            <w:r>
              <w:rPr>
                <w:rFonts w:hint="eastAsia" w:ascii="宋体" w:hAnsi="宋体" w:eastAsia="宋体" w:cs="宋体"/>
                <w:color w:val="auto"/>
                <w:spacing w:val="-7"/>
                <w:sz w:val="24"/>
                <w:szCs w:val="24"/>
                <w:lang w:val="en-US" w:eastAsia="zh-CN"/>
              </w:rPr>
              <w:t>5</w:t>
            </w:r>
          </w:p>
        </w:tc>
        <w:tc>
          <w:tcPr>
            <w:tcW w:w="1523" w:type="dxa"/>
            <w:vAlign w:val="top"/>
          </w:tcPr>
          <w:p>
            <w:pPr>
              <w:pStyle w:val="23"/>
              <w:spacing w:line="290" w:lineRule="auto"/>
              <w:rPr>
                <w:color w:val="auto"/>
              </w:rPr>
            </w:pPr>
          </w:p>
          <w:p>
            <w:pPr>
              <w:spacing w:before="78"/>
              <w:ind w:left="638"/>
              <w:rPr>
                <w:rFonts w:hint="eastAsia" w:ascii="宋体" w:hAnsi="宋体" w:eastAsia="宋体" w:cs="宋体"/>
                <w:color w:val="auto"/>
                <w:sz w:val="24"/>
                <w:szCs w:val="24"/>
                <w:lang w:val="en-US" w:eastAsia="zh-CN"/>
              </w:rPr>
            </w:pPr>
            <w:r>
              <w:rPr>
                <w:rFonts w:ascii="宋体" w:hAnsi="宋体" w:eastAsia="宋体" w:cs="宋体"/>
                <w:color w:val="auto"/>
                <w:spacing w:val="-7"/>
                <w:sz w:val="24"/>
                <w:szCs w:val="24"/>
              </w:rPr>
              <w:t>1</w:t>
            </w:r>
            <w:r>
              <w:rPr>
                <w:rFonts w:hint="eastAsia" w:ascii="宋体" w:hAnsi="宋体" w:eastAsia="宋体" w:cs="宋体"/>
                <w:color w:val="auto"/>
                <w:spacing w:val="-7"/>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152" w:type="dxa"/>
            <w:vAlign w:val="top"/>
          </w:tcPr>
          <w:p>
            <w:pPr>
              <w:spacing w:before="188" w:line="220" w:lineRule="auto"/>
              <w:ind w:left="285"/>
              <w:rPr>
                <w:rFonts w:ascii="宋体" w:hAnsi="宋体" w:eastAsia="宋体" w:cs="宋体"/>
                <w:color w:val="auto"/>
                <w:sz w:val="24"/>
                <w:szCs w:val="24"/>
              </w:rPr>
            </w:pPr>
            <w:r>
              <w:rPr>
                <w:rFonts w:ascii="宋体" w:hAnsi="宋体" w:eastAsia="宋体" w:cs="宋体"/>
                <w:color w:val="auto"/>
                <w:spacing w:val="5"/>
                <w:sz w:val="24"/>
                <w:szCs w:val="24"/>
              </w:rPr>
              <w:t>总分</w:t>
            </w:r>
          </w:p>
        </w:tc>
        <w:tc>
          <w:tcPr>
            <w:tcW w:w="1398" w:type="dxa"/>
            <w:vAlign w:val="top"/>
          </w:tcPr>
          <w:p>
            <w:pPr>
              <w:spacing w:before="211"/>
              <w:ind w:left="511"/>
              <w:rPr>
                <w:rFonts w:ascii="宋体" w:hAnsi="宋体" w:eastAsia="宋体" w:cs="宋体"/>
                <w:color w:val="auto"/>
                <w:sz w:val="24"/>
                <w:szCs w:val="24"/>
              </w:rPr>
            </w:pPr>
            <w:r>
              <w:rPr>
                <w:rFonts w:ascii="宋体" w:hAnsi="宋体" w:eastAsia="宋体" w:cs="宋体"/>
                <w:color w:val="auto"/>
                <w:spacing w:val="-7"/>
                <w:sz w:val="24"/>
                <w:szCs w:val="24"/>
              </w:rPr>
              <w:t>100</w:t>
            </w:r>
          </w:p>
        </w:tc>
        <w:tc>
          <w:tcPr>
            <w:tcW w:w="2138" w:type="dxa"/>
            <w:vAlign w:val="top"/>
          </w:tcPr>
          <w:p>
            <w:pPr>
              <w:pStyle w:val="23"/>
              <w:rPr>
                <w:color w:val="auto"/>
              </w:rPr>
            </w:pPr>
          </w:p>
        </w:tc>
        <w:tc>
          <w:tcPr>
            <w:tcW w:w="1079" w:type="dxa"/>
            <w:vAlign w:val="top"/>
          </w:tcPr>
          <w:p>
            <w:pPr>
              <w:spacing w:before="211"/>
              <w:ind w:left="355"/>
              <w:rPr>
                <w:rFonts w:ascii="宋体" w:hAnsi="宋体" w:eastAsia="宋体" w:cs="宋体"/>
                <w:color w:val="auto"/>
                <w:sz w:val="24"/>
                <w:szCs w:val="24"/>
              </w:rPr>
            </w:pPr>
            <w:r>
              <w:rPr>
                <w:rFonts w:ascii="宋体" w:hAnsi="宋体" w:eastAsia="宋体" w:cs="宋体"/>
                <w:color w:val="auto"/>
                <w:spacing w:val="-7"/>
                <w:sz w:val="24"/>
                <w:szCs w:val="24"/>
              </w:rPr>
              <w:t>100</w:t>
            </w:r>
          </w:p>
        </w:tc>
        <w:tc>
          <w:tcPr>
            <w:tcW w:w="2108" w:type="dxa"/>
            <w:vAlign w:val="top"/>
          </w:tcPr>
          <w:p>
            <w:pPr>
              <w:pStyle w:val="23"/>
              <w:rPr>
                <w:color w:val="auto"/>
              </w:rPr>
            </w:pPr>
          </w:p>
        </w:tc>
        <w:tc>
          <w:tcPr>
            <w:tcW w:w="509" w:type="dxa"/>
            <w:vAlign w:val="top"/>
          </w:tcPr>
          <w:p>
            <w:pPr>
              <w:spacing w:before="211"/>
              <w:ind w:left="68"/>
              <w:rPr>
                <w:rFonts w:ascii="宋体" w:hAnsi="宋体" w:eastAsia="宋体" w:cs="宋体"/>
                <w:color w:val="auto"/>
                <w:sz w:val="24"/>
                <w:szCs w:val="24"/>
              </w:rPr>
            </w:pPr>
            <w:r>
              <w:rPr>
                <w:rFonts w:ascii="宋体" w:hAnsi="宋体" w:eastAsia="宋体" w:cs="宋体"/>
                <w:color w:val="auto"/>
                <w:spacing w:val="-7"/>
                <w:sz w:val="24"/>
                <w:szCs w:val="24"/>
              </w:rPr>
              <w:t>100</w:t>
            </w:r>
          </w:p>
        </w:tc>
        <w:tc>
          <w:tcPr>
            <w:tcW w:w="1523" w:type="dxa"/>
            <w:vAlign w:val="top"/>
          </w:tcPr>
          <w:p>
            <w:pPr>
              <w:spacing w:before="211"/>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5767" w:type="dxa"/>
            <w:gridSpan w:val="4"/>
            <w:vAlign w:val="top"/>
          </w:tcPr>
          <w:p>
            <w:pPr>
              <w:pStyle w:val="23"/>
              <w:spacing w:line="248" w:lineRule="auto"/>
              <w:rPr>
                <w:color w:val="auto"/>
              </w:rPr>
            </w:pPr>
          </w:p>
          <w:p>
            <w:pPr>
              <w:spacing w:before="78" w:line="218" w:lineRule="auto"/>
              <w:ind w:left="2355"/>
              <w:rPr>
                <w:rFonts w:ascii="宋体" w:hAnsi="宋体" w:eastAsia="宋体" w:cs="宋体"/>
                <w:color w:val="auto"/>
                <w:sz w:val="24"/>
                <w:szCs w:val="24"/>
              </w:rPr>
            </w:pPr>
            <w:r>
              <w:rPr>
                <w:rFonts w:ascii="宋体" w:hAnsi="宋体" w:eastAsia="宋体" w:cs="宋体"/>
                <w:color w:val="auto"/>
                <w:spacing w:val="-2"/>
                <w:sz w:val="24"/>
                <w:szCs w:val="24"/>
              </w:rPr>
              <w:t>评价等次</w:t>
            </w:r>
          </w:p>
        </w:tc>
        <w:tc>
          <w:tcPr>
            <w:tcW w:w="4140" w:type="dxa"/>
            <w:gridSpan w:val="3"/>
            <w:vAlign w:val="top"/>
          </w:tcPr>
          <w:p>
            <w:pPr>
              <w:pStyle w:val="23"/>
              <w:spacing w:line="248" w:lineRule="auto"/>
              <w:rPr>
                <w:color w:val="auto"/>
              </w:rPr>
            </w:pPr>
          </w:p>
          <w:p>
            <w:pPr>
              <w:spacing w:before="78" w:line="219" w:lineRule="auto"/>
              <w:ind w:left="1936"/>
              <w:rPr>
                <w:rFonts w:ascii="宋体" w:hAnsi="宋体" w:eastAsia="宋体" w:cs="宋体"/>
                <w:color w:val="auto"/>
                <w:sz w:val="24"/>
                <w:szCs w:val="24"/>
              </w:rPr>
            </w:pPr>
            <w:r>
              <w:rPr>
                <w:rFonts w:ascii="宋体" w:hAnsi="宋体" w:eastAsia="宋体" w:cs="宋体"/>
                <w:color w:val="auto"/>
                <w:sz w:val="24"/>
                <w:szCs w:val="24"/>
              </w:rPr>
              <w:t>优</w:t>
            </w:r>
          </w:p>
        </w:tc>
      </w:tr>
    </w:tbl>
    <w:p>
      <w:pPr>
        <w:pStyle w:val="3"/>
        <w:spacing w:line="171" w:lineRule="exact"/>
        <w:rPr>
          <w:color w:val="auto"/>
          <w:sz w:val="14"/>
        </w:rPr>
      </w:pPr>
    </w:p>
    <w:p>
      <w:pPr>
        <w:spacing w:line="171" w:lineRule="exact"/>
        <w:rPr>
          <w:color w:val="auto"/>
          <w:sz w:val="14"/>
          <w:szCs w:val="14"/>
        </w:rPr>
        <w:sectPr>
          <w:footerReference r:id="rId3" w:type="default"/>
          <w:pgSz w:w="11900" w:h="16830"/>
          <w:pgMar w:top="1384" w:right="924" w:bottom="1127" w:left="1065" w:header="0" w:footer="1001" w:gutter="0"/>
          <w:cols w:equalWidth="0" w:num="1">
            <w:col w:w="9910"/>
          </w:cols>
        </w:sectPr>
      </w:pPr>
    </w:p>
    <w:p>
      <w:pPr>
        <w:spacing w:before="53" w:line="223" w:lineRule="auto"/>
        <w:ind w:left="774"/>
        <w:rPr>
          <w:rFonts w:ascii="仿宋" w:hAnsi="仿宋" w:eastAsia="仿宋" w:cs="仿宋"/>
          <w:color w:val="auto"/>
          <w:sz w:val="26"/>
          <w:szCs w:val="26"/>
        </w:rPr>
      </w:pPr>
      <w:r>
        <w:rPr>
          <w:rFonts w:ascii="仿宋" w:hAnsi="仿宋" w:eastAsia="仿宋" w:cs="仿宋"/>
          <w:color w:val="auto"/>
          <w:spacing w:val="24"/>
          <w:sz w:val="26"/>
          <w:szCs w:val="26"/>
        </w:rPr>
        <w:t>注：绩效等级</w:t>
      </w:r>
    </w:p>
    <w:p>
      <w:pPr>
        <w:spacing w:before="285" w:line="222" w:lineRule="auto"/>
        <w:ind w:left="1324"/>
        <w:rPr>
          <w:rFonts w:ascii="仿宋" w:hAnsi="仿宋" w:eastAsia="仿宋" w:cs="仿宋"/>
          <w:color w:val="auto"/>
          <w:sz w:val="26"/>
          <w:szCs w:val="26"/>
        </w:rPr>
      </w:pPr>
      <w:r>
        <w:rPr>
          <w:rFonts w:ascii="仿宋" w:hAnsi="仿宋" w:eastAsia="仿宋" w:cs="仿宋"/>
          <w:color w:val="auto"/>
          <w:spacing w:val="18"/>
          <w:sz w:val="26"/>
          <w:szCs w:val="26"/>
        </w:rPr>
        <w:t>优≥90分；</w:t>
      </w:r>
    </w:p>
    <w:p>
      <w:pPr>
        <w:spacing w:before="186" w:line="194" w:lineRule="auto"/>
        <w:ind w:left="1354"/>
        <w:rPr>
          <w:rFonts w:ascii="仿宋" w:hAnsi="仿宋" w:eastAsia="仿宋" w:cs="仿宋"/>
          <w:color w:val="auto"/>
          <w:sz w:val="26"/>
          <w:szCs w:val="26"/>
        </w:rPr>
      </w:pPr>
      <w:r>
        <w:rPr>
          <w:rFonts w:ascii="仿宋" w:hAnsi="仿宋" w:eastAsia="仿宋" w:cs="仿宋"/>
          <w:color w:val="auto"/>
          <w:spacing w:val="20"/>
          <w:sz w:val="26"/>
          <w:szCs w:val="26"/>
        </w:rPr>
        <w:t>中≥60分，&lt;80分；</w:t>
      </w:r>
    </w:p>
    <w:p>
      <w:pPr>
        <w:pStyle w:val="3"/>
        <w:spacing w:line="14" w:lineRule="auto"/>
        <w:rPr>
          <w:color w:val="auto"/>
          <w:sz w:val="2"/>
        </w:rPr>
      </w:pPr>
      <w:r>
        <w:rPr>
          <w:color w:val="auto"/>
          <w:sz w:val="2"/>
          <w:szCs w:val="2"/>
        </w:rPr>
        <w:br w:type="column"/>
      </w:r>
    </w:p>
    <w:p>
      <w:pPr>
        <w:pStyle w:val="3"/>
        <w:spacing w:line="282" w:lineRule="auto"/>
        <w:rPr>
          <w:color w:val="auto"/>
        </w:rPr>
      </w:pPr>
    </w:p>
    <w:p>
      <w:pPr>
        <w:pStyle w:val="3"/>
        <w:spacing w:line="282" w:lineRule="auto"/>
        <w:rPr>
          <w:color w:val="auto"/>
        </w:rPr>
      </w:pPr>
    </w:p>
    <w:p>
      <w:pPr>
        <w:spacing w:before="84" w:line="274" w:lineRule="auto"/>
        <w:ind w:left="29" w:right="1835" w:hanging="29"/>
        <w:rPr>
          <w:rFonts w:ascii="仿宋" w:hAnsi="仿宋" w:eastAsia="仿宋" w:cs="仿宋"/>
          <w:color w:val="auto"/>
          <w:sz w:val="26"/>
          <w:szCs w:val="26"/>
        </w:rPr>
      </w:pPr>
      <w:r>
        <w:rPr>
          <w:rFonts w:ascii="仿宋" w:hAnsi="仿宋" w:eastAsia="仿宋" w:cs="仿宋"/>
          <w:color w:val="auto"/>
          <w:spacing w:val="17"/>
          <w:sz w:val="26"/>
          <w:szCs w:val="26"/>
        </w:rPr>
        <w:t>良≥80分，&lt;90分；</w:t>
      </w:r>
      <w:r>
        <w:rPr>
          <w:rFonts w:ascii="仿宋" w:hAnsi="仿宋" w:eastAsia="仿宋" w:cs="仿宋"/>
          <w:color w:val="auto"/>
          <w:spacing w:val="1"/>
          <w:sz w:val="26"/>
          <w:szCs w:val="26"/>
        </w:rPr>
        <w:t xml:space="preserve"> </w:t>
      </w:r>
      <w:r>
        <w:rPr>
          <w:rFonts w:ascii="仿宋" w:hAnsi="仿宋" w:eastAsia="仿宋" w:cs="仿宋"/>
          <w:color w:val="auto"/>
          <w:spacing w:val="8"/>
          <w:sz w:val="26"/>
          <w:szCs w:val="26"/>
        </w:rPr>
        <w:t>差&lt;70;</w:t>
      </w:r>
    </w:p>
    <w:p>
      <w:pPr>
        <w:spacing w:line="274" w:lineRule="auto"/>
        <w:rPr>
          <w:rFonts w:ascii="仿宋" w:hAnsi="仿宋" w:eastAsia="仿宋" w:cs="仿宋"/>
          <w:color w:val="auto"/>
          <w:sz w:val="26"/>
          <w:szCs w:val="26"/>
        </w:rPr>
        <w:sectPr>
          <w:type w:val="continuous"/>
          <w:pgSz w:w="11900" w:h="16830"/>
          <w:pgMar w:top="1384" w:right="924" w:bottom="1127" w:left="1065" w:header="0" w:footer="1001" w:gutter="0"/>
          <w:cols w:equalWidth="0" w:num="2">
            <w:col w:w="5575" w:space="100"/>
            <w:col w:w="4235"/>
          </w:cols>
        </w:sectPr>
      </w:pPr>
    </w:p>
    <w:p>
      <w:pPr>
        <w:spacing w:line="223" w:lineRule="auto"/>
        <w:ind w:left="664"/>
        <w:outlineLvl w:val="2"/>
        <w:rPr>
          <w:rFonts w:ascii="黑体" w:hAnsi="黑体" w:eastAsia="黑体" w:cs="黑体"/>
          <w:color w:val="auto"/>
          <w:sz w:val="31"/>
          <w:szCs w:val="31"/>
        </w:rPr>
      </w:pPr>
      <w:r>
        <w:rPr>
          <w:rFonts w:ascii="黑体" w:hAnsi="黑体" w:eastAsia="黑体" w:cs="黑体"/>
          <w:b/>
          <w:bCs/>
          <w:color w:val="auto"/>
          <w:spacing w:val="5"/>
          <w:sz w:val="31"/>
          <w:szCs w:val="31"/>
        </w:rPr>
        <w:t>一、基本情况</w:t>
      </w:r>
    </w:p>
    <w:p>
      <w:pPr>
        <w:spacing w:before="201" w:line="232" w:lineRule="auto"/>
        <w:ind w:left="814"/>
        <w:outlineLvl w:val="2"/>
        <w:rPr>
          <w:rFonts w:ascii="楷体" w:hAnsi="楷体" w:eastAsia="楷体" w:cs="楷体"/>
          <w:color w:val="auto"/>
          <w:sz w:val="31"/>
          <w:szCs w:val="31"/>
        </w:rPr>
      </w:pPr>
      <w:r>
        <w:rPr>
          <w:rFonts w:ascii="楷体" w:hAnsi="楷体" w:eastAsia="楷体" w:cs="楷体"/>
          <w:b/>
          <w:bCs/>
          <w:color w:val="auto"/>
          <w:spacing w:val="14"/>
          <w:sz w:val="31"/>
          <w:szCs w:val="31"/>
        </w:rPr>
        <w:t>(</w:t>
      </w:r>
      <w:r>
        <w:rPr>
          <w:rFonts w:ascii="楷体" w:hAnsi="楷体" w:eastAsia="楷体" w:cs="楷体"/>
          <w:color w:val="auto"/>
          <w:spacing w:val="-79"/>
          <w:sz w:val="31"/>
          <w:szCs w:val="31"/>
        </w:rPr>
        <w:t xml:space="preserve"> </w:t>
      </w:r>
      <w:r>
        <w:rPr>
          <w:rFonts w:ascii="楷体" w:hAnsi="楷体" w:eastAsia="楷体" w:cs="楷体"/>
          <w:b/>
          <w:bCs/>
          <w:color w:val="auto"/>
          <w:spacing w:val="14"/>
          <w:sz w:val="31"/>
          <w:szCs w:val="31"/>
        </w:rPr>
        <w:t>一</w:t>
      </w:r>
      <w:r>
        <w:rPr>
          <w:rFonts w:ascii="楷体" w:hAnsi="楷体" w:eastAsia="楷体" w:cs="楷体"/>
          <w:color w:val="auto"/>
          <w:spacing w:val="-93"/>
          <w:sz w:val="31"/>
          <w:szCs w:val="31"/>
        </w:rPr>
        <w:t xml:space="preserve"> </w:t>
      </w:r>
      <w:r>
        <w:rPr>
          <w:rFonts w:ascii="楷体" w:hAnsi="楷体" w:eastAsia="楷体" w:cs="楷体"/>
          <w:b/>
          <w:bCs/>
          <w:color w:val="auto"/>
          <w:spacing w:val="14"/>
          <w:sz w:val="31"/>
          <w:szCs w:val="31"/>
        </w:rPr>
        <w:t>)项目概况</w:t>
      </w:r>
    </w:p>
    <w:p>
      <w:pPr>
        <w:spacing w:before="186" w:line="222" w:lineRule="auto"/>
        <w:ind w:left="65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5"/>
          <w:sz w:val="32"/>
          <w:szCs w:val="32"/>
        </w:rPr>
        <w:t>1.立项背景</w:t>
      </w:r>
    </w:p>
    <w:p>
      <w:pPr>
        <w:spacing w:before="228" w:line="349" w:lineRule="auto"/>
        <w:ind w:firstLine="65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4"/>
          <w:sz w:val="32"/>
          <w:szCs w:val="32"/>
          <w:lang w:val="en-US" w:eastAsia="zh-CN"/>
        </w:rPr>
        <w:t>响应国家“全面依法治国”战略及最高人民法院“智慧法院”建设部署，以及强化党对司法工作的领导背景下，为应对</w:t>
      </w:r>
      <w:r>
        <w:rPr>
          <w:rFonts w:hint="eastAsia" w:ascii="仿宋_GB2312" w:hAnsi="仿宋_GB2312" w:eastAsia="仿宋_GB2312" w:cs="仿宋_GB2312"/>
          <w:color w:val="auto"/>
          <w:spacing w:val="14"/>
          <w:sz w:val="32"/>
          <w:szCs w:val="32"/>
        </w:rPr>
        <w:t>基层法院普遍面临案件量持续攀升的困境，</w:t>
      </w:r>
      <w:r>
        <w:rPr>
          <w:rFonts w:hint="eastAsia" w:ascii="仿宋_GB2312" w:hAnsi="仿宋_GB2312" w:eastAsia="仿宋_GB2312" w:cs="仿宋_GB2312"/>
          <w:color w:val="auto"/>
          <w:spacing w:val="14"/>
          <w:sz w:val="32"/>
          <w:szCs w:val="32"/>
          <w:lang w:val="en-US" w:eastAsia="zh-CN"/>
        </w:rPr>
        <w:t>亟待</w:t>
      </w:r>
      <w:r>
        <w:rPr>
          <w:rFonts w:hint="eastAsia" w:ascii="仿宋_GB2312" w:hAnsi="仿宋_GB2312" w:eastAsia="仿宋_GB2312" w:cs="仿宋_GB2312"/>
          <w:color w:val="auto"/>
          <w:spacing w:val="14"/>
          <w:sz w:val="32"/>
          <w:szCs w:val="32"/>
        </w:rPr>
        <w:t>通过专项改革优化流程</w:t>
      </w:r>
      <w:r>
        <w:rPr>
          <w:rFonts w:hint="eastAsia" w:ascii="仿宋_GB2312" w:hAnsi="仿宋_GB2312" w:eastAsia="仿宋_GB2312" w:cs="仿宋_GB2312"/>
          <w:color w:val="auto"/>
          <w:spacing w:val="14"/>
          <w:sz w:val="32"/>
          <w:szCs w:val="32"/>
          <w:lang w:eastAsia="zh-CN"/>
        </w:rPr>
        <w:t>，</w:t>
      </w:r>
      <w:r>
        <w:rPr>
          <w:rFonts w:hint="eastAsia" w:ascii="仿宋_GB2312" w:hAnsi="仿宋_GB2312" w:eastAsia="仿宋_GB2312" w:cs="仿宋_GB2312"/>
          <w:color w:val="auto"/>
          <w:spacing w:val="14"/>
          <w:sz w:val="32"/>
          <w:szCs w:val="32"/>
          <w:lang w:val="en-US" w:eastAsia="zh-CN"/>
        </w:rPr>
        <w:t>改进</w:t>
      </w:r>
      <w:r>
        <w:rPr>
          <w:rFonts w:hint="eastAsia" w:ascii="仿宋_GB2312" w:hAnsi="仿宋_GB2312" w:eastAsia="仿宋_GB2312" w:cs="仿宋_GB2312"/>
          <w:color w:val="auto"/>
          <w:spacing w:val="14"/>
          <w:sz w:val="32"/>
          <w:szCs w:val="32"/>
        </w:rPr>
        <w:t>传统办案模式，</w:t>
      </w:r>
      <w:r>
        <w:rPr>
          <w:rFonts w:hint="eastAsia" w:ascii="仿宋_GB2312" w:hAnsi="仿宋_GB2312" w:eastAsia="仿宋_GB2312" w:cs="仿宋_GB2312"/>
          <w:color w:val="auto"/>
          <w:spacing w:val="14"/>
          <w:sz w:val="32"/>
          <w:szCs w:val="32"/>
          <w:lang w:val="en-US" w:eastAsia="zh-CN"/>
        </w:rPr>
        <w:t>以满足</w:t>
      </w:r>
      <w:r>
        <w:rPr>
          <w:rFonts w:hint="eastAsia" w:ascii="仿宋_GB2312" w:hAnsi="仿宋_GB2312" w:eastAsia="仿宋_GB2312" w:cs="仿宋_GB2312"/>
          <w:color w:val="auto"/>
          <w:spacing w:val="14"/>
          <w:sz w:val="32"/>
          <w:szCs w:val="32"/>
        </w:rPr>
        <w:t>公众对司法公正、效率及透明度</w:t>
      </w:r>
      <w:r>
        <w:rPr>
          <w:rFonts w:hint="eastAsia" w:ascii="仿宋_GB2312" w:hAnsi="仿宋_GB2312" w:eastAsia="仿宋_GB2312" w:cs="仿宋_GB2312"/>
          <w:color w:val="auto"/>
          <w:spacing w:val="14"/>
          <w:sz w:val="32"/>
          <w:szCs w:val="32"/>
          <w:lang w:val="en-US" w:eastAsia="zh-CN"/>
        </w:rPr>
        <w:t>的期待要求。</w:t>
      </w:r>
    </w:p>
    <w:p>
      <w:pPr>
        <w:spacing w:line="222" w:lineRule="auto"/>
        <w:ind w:left="65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rPr>
        <w:t>2.主要内容及实施情况</w:t>
      </w:r>
    </w:p>
    <w:p>
      <w:pPr>
        <w:spacing w:before="197" w:line="222" w:lineRule="auto"/>
        <w:ind w:left="789"/>
        <w:rPr>
          <w:rFonts w:hint="eastAsia" w:ascii="仿宋_GB2312" w:hAnsi="仿宋_GB2312" w:eastAsia="仿宋_GB2312" w:cs="仿宋_GB2312"/>
          <w:color w:val="auto"/>
          <w:spacing w:val="27"/>
          <w:sz w:val="32"/>
          <w:szCs w:val="32"/>
        </w:rPr>
      </w:pPr>
      <w:r>
        <w:rPr>
          <w:rFonts w:hint="eastAsia" w:ascii="仿宋_GB2312" w:hAnsi="仿宋_GB2312" w:eastAsia="仿宋_GB2312" w:cs="仿宋_GB2312"/>
          <w:color w:val="auto"/>
          <w:spacing w:val="27"/>
          <w:sz w:val="32"/>
          <w:szCs w:val="32"/>
        </w:rPr>
        <w:t>(1)项目主要内容</w:t>
      </w:r>
    </w:p>
    <w:p>
      <w:pPr>
        <w:spacing w:before="186" w:line="339" w:lineRule="auto"/>
        <w:ind w:firstLine="668"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7"/>
          <w:sz w:val="32"/>
          <w:szCs w:val="32"/>
        </w:rPr>
        <w:t>案件审判项目属于经常性项目，依照宪法及组织法的有关规定，我院依法审判法律规定由基层人民法庭管辖的第一审案件，依法审判三亚市中级人民法院交办或指令的刑事、民事等案件。随着我省社会经济文化的发展，人民的法律意识的不断提高，人口的增长，我院案件量显著增加，办案成本也逐年增加，因此，与案件审判直接相关的支出也应逐年提高。</w:t>
      </w:r>
    </w:p>
    <w:p>
      <w:pPr>
        <w:spacing w:before="5" w:line="222" w:lineRule="auto"/>
        <w:ind w:left="83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8"/>
          <w:sz w:val="32"/>
          <w:szCs w:val="32"/>
        </w:rPr>
        <w:t>(2)项目实施情况</w:t>
      </w:r>
    </w:p>
    <w:p>
      <w:pPr>
        <w:spacing w:before="196" w:line="339" w:lineRule="auto"/>
        <w:ind w:left="54" w:right="6" w:firstLine="64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1"/>
          <w:sz w:val="32"/>
          <w:szCs w:val="32"/>
        </w:rPr>
        <w:t>2024年</w:t>
      </w:r>
      <w:r>
        <w:rPr>
          <w:rFonts w:hint="eastAsia" w:ascii="仿宋_GB2312" w:hAnsi="仿宋_GB2312" w:eastAsia="仿宋_GB2312" w:cs="仿宋_GB2312"/>
          <w:color w:val="auto"/>
          <w:spacing w:val="21"/>
          <w:sz w:val="32"/>
          <w:szCs w:val="32"/>
          <w:lang w:val="en-US" w:eastAsia="zh-CN"/>
        </w:rPr>
        <w:t>我院基本</w:t>
      </w:r>
      <w:r>
        <w:rPr>
          <w:rFonts w:hint="eastAsia" w:ascii="仿宋_GB2312" w:hAnsi="仿宋_GB2312" w:eastAsia="仿宋_GB2312" w:cs="仿宋_GB2312"/>
          <w:color w:val="auto"/>
          <w:spacing w:val="21"/>
          <w:sz w:val="32"/>
          <w:szCs w:val="32"/>
        </w:rPr>
        <w:t>按照</w:t>
      </w:r>
      <w:r>
        <w:rPr>
          <w:rFonts w:hint="eastAsia" w:ascii="仿宋_GB2312" w:hAnsi="仿宋_GB2312" w:eastAsia="仿宋_GB2312" w:cs="仿宋_GB2312"/>
          <w:color w:val="auto"/>
          <w:spacing w:val="21"/>
          <w:sz w:val="32"/>
          <w:szCs w:val="32"/>
          <w:lang w:eastAsia="zh-CN"/>
        </w:rPr>
        <w:t>执法办案</w:t>
      </w:r>
      <w:r>
        <w:rPr>
          <w:rFonts w:hint="eastAsia" w:ascii="仿宋_GB2312" w:hAnsi="仿宋_GB2312" w:eastAsia="仿宋_GB2312" w:cs="仿宋_GB2312"/>
          <w:color w:val="auto"/>
          <w:spacing w:val="21"/>
          <w:sz w:val="32"/>
          <w:szCs w:val="32"/>
        </w:rPr>
        <w:t>项目</w:t>
      </w:r>
      <w:r>
        <w:rPr>
          <w:rFonts w:hint="eastAsia" w:ascii="仿宋_GB2312" w:hAnsi="仿宋_GB2312" w:eastAsia="仿宋_GB2312" w:cs="仿宋_GB2312"/>
          <w:color w:val="auto"/>
          <w:spacing w:val="21"/>
          <w:sz w:val="32"/>
          <w:szCs w:val="32"/>
          <w:lang w:val="en-US" w:eastAsia="zh-CN"/>
        </w:rPr>
        <w:t>规定</w:t>
      </w:r>
      <w:r>
        <w:rPr>
          <w:rFonts w:hint="eastAsia" w:ascii="仿宋_GB2312" w:hAnsi="仿宋_GB2312" w:eastAsia="仿宋_GB2312" w:cs="仿宋_GB2312"/>
          <w:color w:val="auto"/>
          <w:spacing w:val="21"/>
          <w:sz w:val="32"/>
          <w:szCs w:val="32"/>
        </w:rPr>
        <w:t>的使用</w:t>
      </w:r>
      <w:r>
        <w:rPr>
          <w:rFonts w:hint="eastAsia" w:ascii="仿宋_GB2312" w:hAnsi="仿宋_GB2312" w:eastAsia="仿宋_GB2312" w:cs="仿宋_GB2312"/>
          <w:color w:val="auto"/>
          <w:spacing w:val="34"/>
          <w:sz w:val="32"/>
          <w:szCs w:val="32"/>
        </w:rPr>
        <w:t>范围</w:t>
      </w:r>
      <w:r>
        <w:rPr>
          <w:rFonts w:hint="eastAsia" w:ascii="仿宋_GB2312" w:hAnsi="仿宋_GB2312" w:eastAsia="仿宋_GB2312" w:cs="仿宋_GB2312"/>
          <w:color w:val="auto"/>
          <w:spacing w:val="34"/>
          <w:sz w:val="32"/>
          <w:szCs w:val="32"/>
          <w:lang w:val="en-US" w:eastAsia="zh-CN"/>
        </w:rPr>
        <w:t>实施，</w:t>
      </w:r>
      <w:r>
        <w:rPr>
          <w:rFonts w:hint="eastAsia" w:ascii="仿宋_GB2312" w:hAnsi="仿宋_GB2312" w:eastAsia="仿宋_GB2312" w:cs="仿宋_GB2312"/>
          <w:color w:val="auto"/>
          <w:spacing w:val="14"/>
          <w:sz w:val="32"/>
          <w:szCs w:val="32"/>
        </w:rPr>
        <w:t>主要</w:t>
      </w:r>
      <w:r>
        <w:rPr>
          <w:rFonts w:hint="eastAsia" w:ascii="仿宋_GB2312" w:hAnsi="仿宋_GB2312" w:eastAsia="仿宋_GB2312" w:cs="仿宋_GB2312"/>
          <w:color w:val="auto"/>
          <w:spacing w:val="14"/>
          <w:sz w:val="32"/>
          <w:szCs w:val="32"/>
          <w:lang w:val="en-US" w:eastAsia="zh-CN"/>
        </w:rPr>
        <w:t>内容为：与相关案件的差旅费、办案印刷费、网络租赁费等</w:t>
      </w:r>
      <w:r>
        <w:rPr>
          <w:rFonts w:hint="eastAsia" w:ascii="仿宋_GB2312" w:hAnsi="仿宋_GB2312" w:eastAsia="仿宋_GB2312" w:cs="仿宋_GB2312"/>
          <w:color w:val="auto"/>
          <w:spacing w:val="9"/>
          <w:sz w:val="32"/>
          <w:szCs w:val="32"/>
        </w:rPr>
        <w:t>，保障了审</w:t>
      </w:r>
      <w:r>
        <w:rPr>
          <w:rFonts w:hint="eastAsia" w:ascii="仿宋_GB2312" w:hAnsi="仿宋_GB2312" w:eastAsia="仿宋_GB2312" w:cs="仿宋_GB2312"/>
          <w:color w:val="auto"/>
          <w:spacing w:val="1"/>
          <w:sz w:val="32"/>
          <w:szCs w:val="32"/>
        </w:rPr>
        <w:t>判</w:t>
      </w:r>
      <w:r>
        <w:rPr>
          <w:rFonts w:hint="eastAsia" w:ascii="仿宋_GB2312" w:hAnsi="仿宋_GB2312" w:eastAsia="仿宋_GB2312" w:cs="仿宋_GB2312"/>
          <w:color w:val="auto"/>
          <w:spacing w:val="1"/>
          <w:sz w:val="32"/>
          <w:szCs w:val="32"/>
          <w:lang w:val="en-US" w:eastAsia="zh-CN"/>
        </w:rPr>
        <w:t>执行</w:t>
      </w:r>
      <w:r>
        <w:rPr>
          <w:rFonts w:hint="eastAsia" w:ascii="仿宋_GB2312" w:hAnsi="仿宋_GB2312" w:eastAsia="仿宋_GB2312" w:cs="仿宋_GB2312"/>
          <w:color w:val="auto"/>
          <w:spacing w:val="1"/>
          <w:sz w:val="32"/>
          <w:szCs w:val="32"/>
        </w:rPr>
        <w:t>工作的正常开展。</w:t>
      </w:r>
    </w:p>
    <w:p>
      <w:pPr>
        <w:spacing w:before="35" w:line="222" w:lineRule="auto"/>
        <w:ind w:left="70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9"/>
          <w:sz w:val="32"/>
          <w:szCs w:val="32"/>
        </w:rPr>
        <w:t>3.资金投入和使用情况</w:t>
      </w:r>
    </w:p>
    <w:p>
      <w:pPr>
        <w:spacing w:before="195" w:line="339" w:lineRule="auto"/>
        <w:ind w:left="54" w:right="80" w:firstLine="64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7"/>
          <w:sz w:val="32"/>
          <w:szCs w:val="32"/>
        </w:rPr>
        <w:t>2024年项目投入资金总额为</w:t>
      </w:r>
      <w:r>
        <w:rPr>
          <w:rFonts w:hint="eastAsia" w:ascii="仿宋_GB2312" w:hAnsi="仿宋_GB2312" w:eastAsia="仿宋_GB2312" w:cs="仿宋_GB2312"/>
          <w:color w:val="auto"/>
          <w:spacing w:val="15"/>
          <w:sz w:val="32"/>
          <w:szCs w:val="32"/>
          <w:lang w:val="en-US" w:eastAsia="zh-CN"/>
        </w:rPr>
        <w:t>1,365.56</w:t>
      </w:r>
      <w:r>
        <w:rPr>
          <w:rFonts w:hint="eastAsia" w:ascii="仿宋_GB2312" w:hAnsi="仿宋_GB2312" w:eastAsia="仿宋_GB2312" w:cs="仿宋_GB2312"/>
          <w:color w:val="auto"/>
          <w:spacing w:val="17"/>
          <w:sz w:val="32"/>
          <w:szCs w:val="32"/>
        </w:rPr>
        <w:t>万元，</w:t>
      </w:r>
      <w:r>
        <w:rPr>
          <w:rFonts w:hint="eastAsia" w:ascii="仿宋_GB2312" w:hAnsi="仿宋_GB2312" w:eastAsia="仿宋_GB2312" w:cs="仿宋_GB2312"/>
          <w:color w:val="auto"/>
          <w:spacing w:val="17"/>
          <w:sz w:val="32"/>
          <w:szCs w:val="32"/>
          <w:lang w:val="en-US" w:eastAsia="zh-CN"/>
        </w:rPr>
        <w:t>投入资金占预算数的比例为100%；2024年</w:t>
      </w:r>
      <w:r>
        <w:rPr>
          <w:rFonts w:hint="eastAsia" w:ascii="仿宋_GB2312" w:hAnsi="仿宋_GB2312" w:eastAsia="仿宋_GB2312" w:cs="仿宋_GB2312"/>
          <w:color w:val="auto"/>
          <w:spacing w:val="17"/>
          <w:sz w:val="32"/>
          <w:szCs w:val="32"/>
        </w:rPr>
        <w:t>实际使用资</w:t>
      </w:r>
      <w:r>
        <w:rPr>
          <w:rFonts w:hint="eastAsia" w:ascii="仿宋_GB2312" w:hAnsi="仿宋_GB2312" w:eastAsia="仿宋_GB2312" w:cs="仿宋_GB2312"/>
          <w:color w:val="auto"/>
          <w:spacing w:val="16"/>
          <w:sz w:val="32"/>
          <w:szCs w:val="32"/>
        </w:rPr>
        <w:t>金</w:t>
      </w:r>
      <w:r>
        <w:rPr>
          <w:rFonts w:hint="eastAsia" w:ascii="仿宋_GB2312" w:hAnsi="仿宋_GB2312" w:eastAsia="仿宋_GB2312" w:cs="仿宋_GB2312"/>
          <w:color w:val="auto"/>
          <w:spacing w:val="15"/>
          <w:sz w:val="32"/>
          <w:szCs w:val="32"/>
          <w:lang w:val="en-US" w:eastAsia="zh-CN"/>
        </w:rPr>
        <w:t>1,365.56</w:t>
      </w:r>
      <w:r>
        <w:rPr>
          <w:rFonts w:hint="eastAsia" w:ascii="仿宋_GB2312" w:hAnsi="仿宋_GB2312" w:eastAsia="仿宋_GB2312" w:cs="仿宋_GB2312"/>
          <w:color w:val="auto"/>
          <w:spacing w:val="16"/>
          <w:sz w:val="32"/>
          <w:szCs w:val="32"/>
        </w:rPr>
        <w:t>万元，已使用资金占</w:t>
      </w:r>
      <w:r>
        <w:rPr>
          <w:rFonts w:hint="eastAsia" w:ascii="仿宋_GB2312" w:hAnsi="仿宋_GB2312" w:eastAsia="仿宋_GB2312" w:cs="仿宋_GB2312"/>
          <w:color w:val="auto"/>
          <w:spacing w:val="16"/>
          <w:sz w:val="32"/>
          <w:szCs w:val="32"/>
          <w:lang w:val="en-US" w:eastAsia="zh-CN"/>
        </w:rPr>
        <w:t>已</w:t>
      </w:r>
      <w:r>
        <w:rPr>
          <w:rFonts w:hint="eastAsia" w:ascii="仿宋_GB2312" w:hAnsi="仿宋_GB2312" w:eastAsia="仿宋_GB2312" w:cs="仿宋_GB2312"/>
          <w:color w:val="auto"/>
          <w:spacing w:val="16"/>
          <w:sz w:val="32"/>
          <w:szCs w:val="32"/>
        </w:rPr>
        <w:t>到位资金的比例为</w:t>
      </w:r>
      <w:r>
        <w:rPr>
          <w:rFonts w:hint="eastAsia" w:ascii="仿宋_GB2312" w:hAnsi="仿宋_GB2312" w:eastAsia="仿宋_GB2312" w:cs="仿宋_GB2312"/>
          <w:color w:val="auto"/>
          <w:spacing w:val="16"/>
          <w:sz w:val="32"/>
          <w:szCs w:val="32"/>
          <w:lang w:val="en-US" w:eastAsia="zh-CN"/>
        </w:rPr>
        <w:t>100</w:t>
      </w:r>
      <w:r>
        <w:rPr>
          <w:rFonts w:hint="eastAsia" w:ascii="仿宋_GB2312" w:hAnsi="仿宋_GB2312" w:eastAsia="仿宋_GB2312" w:cs="仿宋_GB2312"/>
          <w:color w:val="auto"/>
          <w:spacing w:val="16"/>
          <w:sz w:val="32"/>
          <w:szCs w:val="32"/>
        </w:rPr>
        <w:t>%。</w:t>
      </w:r>
    </w:p>
    <w:p>
      <w:pPr>
        <w:spacing w:before="1" w:line="226" w:lineRule="auto"/>
        <w:ind w:left="839"/>
        <w:outlineLvl w:val="2"/>
        <w:rPr>
          <w:rFonts w:ascii="楷体" w:hAnsi="楷体" w:eastAsia="楷体" w:cs="楷体"/>
          <w:color w:val="auto"/>
          <w:sz w:val="31"/>
          <w:szCs w:val="31"/>
        </w:rPr>
      </w:pPr>
      <w:r>
        <w:rPr>
          <w:rFonts w:ascii="楷体" w:hAnsi="楷体" w:eastAsia="楷体" w:cs="楷体"/>
          <w:b/>
          <w:bCs/>
          <w:color w:val="auto"/>
          <w:spacing w:val="26"/>
          <w:sz w:val="31"/>
          <w:szCs w:val="31"/>
        </w:rPr>
        <w:t>(二)项目绩效目标</w:t>
      </w:r>
    </w:p>
    <w:p>
      <w:pPr>
        <w:spacing w:before="193" w:line="222" w:lineRule="auto"/>
        <w:ind w:left="70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rPr>
        <w:t>1.项目绩效总目标</w:t>
      </w:r>
    </w:p>
    <w:p>
      <w:pPr>
        <w:spacing w:before="195" w:line="339" w:lineRule="auto"/>
        <w:ind w:left="54" w:right="80" w:firstLine="649"/>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color w:val="auto"/>
          <w:spacing w:val="17"/>
          <w:sz w:val="32"/>
          <w:szCs w:val="32"/>
        </w:rPr>
        <w:t>为法院审判执行工作提供良好资金保障。</w:t>
      </w:r>
    </w:p>
    <w:p>
      <w:pPr>
        <w:spacing w:line="222" w:lineRule="auto"/>
        <w:ind w:left="70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rPr>
        <w:t>2.项目年度绩效目标</w:t>
      </w:r>
    </w:p>
    <w:p>
      <w:pPr>
        <w:spacing w:before="195" w:line="339" w:lineRule="auto"/>
        <w:ind w:left="54" w:right="80" w:firstLine="649"/>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color w:val="auto"/>
          <w:spacing w:val="17"/>
          <w:sz w:val="32"/>
          <w:szCs w:val="32"/>
        </w:rPr>
        <w:t>（1）案卷扫描页数≥1250000张，确保阅卷完整性与准确性，提升阅卷效率与准确性，强化司法监督与管理；</w:t>
      </w:r>
    </w:p>
    <w:p>
      <w:pPr>
        <w:keepNext w:val="0"/>
        <w:keepLines w:val="0"/>
        <w:pageBreakBefore w:val="0"/>
        <w:widowControl/>
        <w:kinsoku w:val="0"/>
        <w:wordWrap/>
        <w:overflowPunct/>
        <w:topLinePunct w:val="0"/>
        <w:autoSpaceDE w:val="0"/>
        <w:autoSpaceDN w:val="0"/>
        <w:bidi w:val="0"/>
        <w:adjustRightInd w:val="0"/>
        <w:snapToGrid w:val="0"/>
        <w:spacing w:line="339" w:lineRule="auto"/>
        <w:ind w:left="57" w:right="79" w:firstLine="646"/>
        <w:textAlignment w:val="baseline"/>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color w:val="auto"/>
          <w:spacing w:val="17"/>
          <w:sz w:val="32"/>
          <w:szCs w:val="32"/>
        </w:rPr>
        <w:t>（2）</w:t>
      </w:r>
      <w:r>
        <w:rPr>
          <w:rFonts w:hint="eastAsia" w:ascii="仿宋_GB2312" w:hAnsi="仿宋_GB2312" w:eastAsia="仿宋_GB2312" w:cs="仿宋_GB2312"/>
          <w:color w:val="auto"/>
          <w:spacing w:val="17"/>
          <w:sz w:val="32"/>
          <w:szCs w:val="32"/>
          <w:lang w:val="en-US" w:eastAsia="zh-CN"/>
        </w:rPr>
        <w:t>陪审员补助支持案件数≥5000件</w:t>
      </w:r>
      <w:r>
        <w:rPr>
          <w:rFonts w:hint="eastAsia" w:ascii="仿宋_GB2312" w:hAnsi="仿宋_GB2312" w:eastAsia="仿宋_GB2312" w:cs="仿宋_GB2312"/>
          <w:color w:val="auto"/>
          <w:spacing w:val="17"/>
          <w:sz w:val="32"/>
          <w:szCs w:val="32"/>
        </w:rPr>
        <w:t>，保障陪审员权益，激发参审积极性，促进司法公正；</w:t>
      </w:r>
    </w:p>
    <w:p>
      <w:pPr>
        <w:keepNext w:val="0"/>
        <w:keepLines w:val="0"/>
        <w:pageBreakBefore w:val="0"/>
        <w:widowControl/>
        <w:kinsoku w:val="0"/>
        <w:wordWrap/>
        <w:overflowPunct/>
        <w:topLinePunct w:val="0"/>
        <w:autoSpaceDE w:val="0"/>
        <w:autoSpaceDN w:val="0"/>
        <w:bidi w:val="0"/>
        <w:adjustRightInd w:val="0"/>
        <w:snapToGrid w:val="0"/>
        <w:spacing w:line="339" w:lineRule="auto"/>
        <w:ind w:left="57" w:right="79" w:firstLine="646"/>
        <w:textAlignment w:val="baseline"/>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color w:val="auto"/>
          <w:spacing w:val="17"/>
          <w:sz w:val="32"/>
          <w:szCs w:val="32"/>
        </w:rPr>
        <w:t>（3）结案率≥80%，进一步提高司法效率，保障当事人权益。</w:t>
      </w:r>
    </w:p>
    <w:p>
      <w:pPr>
        <w:spacing w:before="1" w:line="220" w:lineRule="auto"/>
        <w:ind w:left="709"/>
        <w:outlineLvl w:val="2"/>
        <w:rPr>
          <w:rFonts w:ascii="黑体" w:hAnsi="黑体" w:eastAsia="黑体" w:cs="黑体"/>
          <w:color w:val="auto"/>
          <w:sz w:val="31"/>
          <w:szCs w:val="31"/>
        </w:rPr>
      </w:pPr>
      <w:r>
        <w:rPr>
          <w:rFonts w:ascii="黑体" w:hAnsi="黑体" w:eastAsia="黑体" w:cs="黑体"/>
          <w:b/>
          <w:bCs/>
          <w:color w:val="auto"/>
          <w:spacing w:val="5"/>
          <w:sz w:val="31"/>
          <w:szCs w:val="31"/>
        </w:rPr>
        <w:t>二、绩效评价工作开展情况</w:t>
      </w:r>
    </w:p>
    <w:p>
      <w:pPr>
        <w:spacing w:before="214" w:line="223" w:lineRule="auto"/>
        <w:ind w:left="839"/>
        <w:outlineLvl w:val="2"/>
        <w:rPr>
          <w:rFonts w:ascii="楷体" w:hAnsi="楷体" w:eastAsia="楷体" w:cs="楷体"/>
          <w:color w:val="auto"/>
          <w:sz w:val="31"/>
          <w:szCs w:val="31"/>
        </w:rPr>
      </w:pPr>
      <w:r>
        <w:rPr>
          <w:rFonts w:ascii="楷体" w:hAnsi="楷体" w:eastAsia="楷体" w:cs="楷体"/>
          <w:b/>
          <w:bCs/>
          <w:color w:val="auto"/>
          <w:spacing w:val="20"/>
          <w:sz w:val="31"/>
          <w:szCs w:val="31"/>
        </w:rPr>
        <w:t>(一)绩效评价目的、对象和范围</w:t>
      </w:r>
    </w:p>
    <w:p>
      <w:pPr>
        <w:spacing w:before="206" w:line="222" w:lineRule="auto"/>
        <w:ind w:left="704"/>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rPr>
        <w:t>1.绩效评价</w:t>
      </w:r>
      <w:r>
        <w:rPr>
          <w:rFonts w:hint="eastAsia" w:ascii="仿宋_GB2312" w:hAnsi="仿宋_GB2312" w:eastAsia="仿宋_GB2312" w:cs="仿宋_GB2312"/>
          <w:color w:val="auto"/>
          <w:spacing w:val="6"/>
          <w:sz w:val="32"/>
          <w:szCs w:val="32"/>
          <w:lang w:val="en-US" w:eastAsia="zh-CN"/>
        </w:rPr>
        <w:t>目的</w:t>
      </w:r>
    </w:p>
    <w:p>
      <w:pPr>
        <w:spacing w:before="148" w:line="334" w:lineRule="auto"/>
        <w:ind w:right="49" w:firstLine="636"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
          <w:sz w:val="32"/>
          <w:szCs w:val="32"/>
        </w:rPr>
        <w:t>根据相关文件要求，结合评价项目的情况和特点，制定项目绩效评价指标体系，运用科学、规范的绩效评价方法，科学、客观、公正的对运行资金进行整体综合性评价，评价项目运行资金的使用情况和取得的效果，发现项目管理存在的问题，总结经验，提出改进意见和建议。通过绩效评价，完善制度、创新机制、加强管理、强化监督，以保证项目资金使用管理的规范性、安全性和有效性；在资金管理中引入绩效管理理念和方式，更好地发挥其政策扶持、引导作用，提高财政资金使用效益和社会效益；为指导预算编制、申报绩效目标、优化财政支出结构，提高公共服务水平提供决策依据。</w:t>
      </w:r>
    </w:p>
    <w:p>
      <w:pPr>
        <w:spacing w:before="67" w:line="222" w:lineRule="auto"/>
        <w:ind w:left="64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7"/>
          <w:sz w:val="32"/>
          <w:szCs w:val="32"/>
        </w:rPr>
        <w:t>2.绩效评价的对象和范围</w:t>
      </w:r>
    </w:p>
    <w:p>
      <w:pPr>
        <w:keepNext w:val="0"/>
        <w:keepLines w:val="0"/>
        <w:pageBreakBefore w:val="0"/>
        <w:widowControl/>
        <w:kinsoku w:val="0"/>
        <w:wordWrap/>
        <w:overflowPunct/>
        <w:topLinePunct w:val="0"/>
        <w:autoSpaceDE w:val="0"/>
        <w:autoSpaceDN w:val="0"/>
        <w:bidi w:val="0"/>
        <w:adjustRightInd w:val="0"/>
        <w:snapToGrid w:val="0"/>
        <w:spacing w:before="148" w:line="334" w:lineRule="auto"/>
        <w:ind w:right="51" w:firstLine="636" w:firstLineChars="200"/>
        <w:textAlignment w:val="baseline"/>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rPr>
        <w:t>2024年预算安排的项目经费的投入使用情况以及项目实施效果等。</w:t>
      </w:r>
    </w:p>
    <w:p>
      <w:pPr>
        <w:keepNext w:val="0"/>
        <w:keepLines w:val="0"/>
        <w:pageBreakBefore w:val="0"/>
        <w:widowControl/>
        <w:kinsoku w:val="0"/>
        <w:wordWrap/>
        <w:overflowPunct/>
        <w:topLinePunct w:val="0"/>
        <w:autoSpaceDE w:val="0"/>
        <w:autoSpaceDN w:val="0"/>
        <w:bidi w:val="0"/>
        <w:adjustRightInd w:val="0"/>
        <w:snapToGrid w:val="0"/>
        <w:spacing w:line="224" w:lineRule="auto"/>
        <w:ind w:left="839"/>
        <w:textAlignment w:val="baseline"/>
        <w:outlineLvl w:val="2"/>
        <w:rPr>
          <w:rFonts w:ascii="楷体" w:hAnsi="楷体" w:eastAsia="楷体" w:cs="楷体"/>
          <w:b/>
          <w:bCs/>
          <w:color w:val="auto"/>
          <w:spacing w:val="20"/>
          <w:sz w:val="31"/>
          <w:szCs w:val="31"/>
        </w:rPr>
      </w:pPr>
      <w:r>
        <w:rPr>
          <w:rFonts w:ascii="楷体" w:hAnsi="楷体" w:eastAsia="楷体" w:cs="楷体"/>
          <w:b/>
          <w:bCs/>
          <w:color w:val="auto"/>
          <w:spacing w:val="20"/>
          <w:sz w:val="31"/>
          <w:szCs w:val="31"/>
        </w:rPr>
        <w:t>(二)绩效评价原则、评价指标体系、评价方法、评</w:t>
      </w:r>
    </w:p>
    <w:p>
      <w:pPr>
        <w:keepNext w:val="0"/>
        <w:keepLines w:val="0"/>
        <w:pageBreakBefore w:val="0"/>
        <w:widowControl/>
        <w:kinsoku w:val="0"/>
        <w:wordWrap/>
        <w:overflowPunct/>
        <w:topLinePunct w:val="0"/>
        <w:autoSpaceDE w:val="0"/>
        <w:autoSpaceDN w:val="0"/>
        <w:bidi w:val="0"/>
        <w:adjustRightInd w:val="0"/>
        <w:snapToGrid w:val="0"/>
        <w:spacing w:line="224" w:lineRule="auto"/>
        <w:textAlignment w:val="baseline"/>
        <w:outlineLvl w:val="2"/>
        <w:rPr>
          <w:rFonts w:ascii="楷体" w:hAnsi="楷体" w:eastAsia="楷体" w:cs="楷体"/>
          <w:b/>
          <w:bCs/>
          <w:color w:val="auto"/>
          <w:spacing w:val="20"/>
          <w:sz w:val="31"/>
          <w:szCs w:val="31"/>
        </w:rPr>
      </w:pPr>
      <w:r>
        <w:rPr>
          <w:rFonts w:ascii="楷体" w:hAnsi="楷体" w:eastAsia="楷体" w:cs="楷体"/>
          <w:b/>
          <w:bCs/>
          <w:color w:val="auto"/>
          <w:spacing w:val="20"/>
          <w:sz w:val="31"/>
          <w:szCs w:val="31"/>
        </w:rPr>
        <w:t>价标准等</w:t>
      </w:r>
    </w:p>
    <w:p>
      <w:pPr>
        <w:spacing w:before="206" w:line="222" w:lineRule="auto"/>
        <w:ind w:left="704"/>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1.绩效评价原则</w:t>
      </w:r>
    </w:p>
    <w:p>
      <w:pPr>
        <w:spacing w:before="148" w:line="334" w:lineRule="auto"/>
        <w:ind w:right="49" w:firstLine="636" w:firstLineChars="200"/>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rPr>
        <w:t>本次评价工作遵循“客观、公正、科学、规范”的原则，通过对项目效率性、效益性的比较和分析，考核支出效率和支出效果。</w:t>
      </w:r>
    </w:p>
    <w:p>
      <w:pPr>
        <w:keepNext w:val="0"/>
        <w:keepLines w:val="0"/>
        <w:pageBreakBefore w:val="0"/>
        <w:widowControl/>
        <w:kinsoku w:val="0"/>
        <w:wordWrap/>
        <w:overflowPunct/>
        <w:topLinePunct w:val="0"/>
        <w:autoSpaceDE w:val="0"/>
        <w:autoSpaceDN w:val="0"/>
        <w:bidi w:val="0"/>
        <w:adjustRightInd w:val="0"/>
        <w:snapToGrid w:val="0"/>
        <w:spacing w:line="224" w:lineRule="auto"/>
        <w:ind w:left="703"/>
        <w:textAlignment w:val="baseline"/>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2.评价指标体系</w:t>
      </w:r>
    </w:p>
    <w:p>
      <w:pPr>
        <w:spacing w:before="204" w:line="340" w:lineRule="auto"/>
        <w:ind w:left="9" w:right="134" w:firstLine="63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rPr>
        <w:t>根据海南省财政厅《海南省项目支出绩效评价管理实施</w:t>
      </w:r>
      <w:r>
        <w:rPr>
          <w:rFonts w:hint="eastAsia" w:ascii="仿宋_GB2312" w:hAnsi="仿宋_GB2312" w:eastAsia="仿宋_GB2312" w:cs="仿宋_GB2312"/>
          <w:color w:val="auto"/>
          <w:spacing w:val="11"/>
          <w:sz w:val="32"/>
          <w:szCs w:val="32"/>
        </w:rPr>
        <w:t xml:space="preserve"> </w:t>
      </w:r>
      <w:r>
        <w:rPr>
          <w:rFonts w:hint="eastAsia" w:ascii="仿宋_GB2312" w:hAnsi="仿宋_GB2312" w:eastAsia="仿宋_GB2312" w:cs="仿宋_GB2312"/>
          <w:color w:val="auto"/>
          <w:spacing w:val="9"/>
          <w:sz w:val="32"/>
          <w:szCs w:val="32"/>
        </w:rPr>
        <w:t>办法》等文件精神及本项目的具体特点，设置了</w:t>
      </w:r>
      <w:r>
        <w:rPr>
          <w:rFonts w:hint="eastAsia" w:ascii="仿宋_GB2312" w:hAnsi="仿宋_GB2312" w:eastAsia="仿宋_GB2312" w:cs="仿宋_GB2312"/>
          <w:color w:val="auto"/>
          <w:spacing w:val="8"/>
          <w:sz w:val="32"/>
          <w:szCs w:val="32"/>
        </w:rPr>
        <w:t>合理可行的</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pacing w:val="14"/>
          <w:sz w:val="32"/>
          <w:szCs w:val="32"/>
        </w:rPr>
        <w:t>评价体系，包括决策指标(项目立项、绩效目标、资金投入</w:t>
      </w:r>
      <w:r>
        <w:rPr>
          <w:rFonts w:hint="eastAsia" w:ascii="仿宋_GB2312" w:hAnsi="仿宋_GB2312" w:eastAsia="仿宋_GB2312" w:cs="仿宋_GB2312"/>
          <w:color w:val="auto"/>
          <w:spacing w:val="31"/>
          <w:sz w:val="32"/>
          <w:szCs w:val="32"/>
        </w:rPr>
        <w:t>指标)、过程指标(资金管理、组织实施)、产出指标(产</w:t>
      </w:r>
      <w:r>
        <w:rPr>
          <w:rFonts w:hint="eastAsia" w:ascii="仿宋_GB2312" w:hAnsi="仿宋_GB2312" w:eastAsia="仿宋_GB2312" w:cs="仿宋_GB2312"/>
          <w:color w:val="auto"/>
          <w:spacing w:val="13"/>
          <w:sz w:val="32"/>
          <w:szCs w:val="32"/>
        </w:rPr>
        <w:t>出数量、产出质量、产出时效、产出成本指标</w:t>
      </w:r>
      <w:r>
        <w:rPr>
          <w:rFonts w:hint="eastAsia" w:ascii="仿宋_GB2312" w:hAnsi="仿宋_GB2312" w:eastAsia="仿宋_GB2312" w:cs="仿宋_GB2312"/>
          <w:color w:val="auto"/>
          <w:spacing w:val="12"/>
          <w:sz w:val="32"/>
          <w:szCs w:val="32"/>
        </w:rPr>
        <w:t>)、效益指标</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pacing w:val="20"/>
          <w:sz w:val="32"/>
          <w:szCs w:val="32"/>
        </w:rPr>
        <w:t>(社会效益和可持续影响指标)、满意度指标等，具体详见</w:t>
      </w:r>
      <w:r>
        <w:rPr>
          <w:rFonts w:hint="eastAsia" w:ascii="仿宋_GB2312" w:hAnsi="仿宋_GB2312" w:eastAsia="仿宋_GB2312" w:cs="仿宋_GB2312"/>
          <w:color w:val="auto"/>
          <w:spacing w:val="1"/>
          <w:sz w:val="32"/>
          <w:szCs w:val="32"/>
        </w:rPr>
        <w:t>项目支出绩效评分表。</w:t>
      </w:r>
    </w:p>
    <w:p>
      <w:pPr>
        <w:keepNext w:val="0"/>
        <w:keepLines w:val="0"/>
        <w:pageBreakBefore w:val="0"/>
        <w:widowControl/>
        <w:kinsoku w:val="0"/>
        <w:wordWrap/>
        <w:overflowPunct/>
        <w:topLinePunct w:val="0"/>
        <w:autoSpaceDE w:val="0"/>
        <w:autoSpaceDN w:val="0"/>
        <w:bidi w:val="0"/>
        <w:adjustRightInd w:val="0"/>
        <w:snapToGrid w:val="0"/>
        <w:spacing w:line="224" w:lineRule="auto"/>
        <w:ind w:left="703"/>
        <w:textAlignment w:val="baseline"/>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3.评价方法</w:t>
      </w:r>
    </w:p>
    <w:p>
      <w:pPr>
        <w:spacing w:before="204" w:line="340" w:lineRule="auto"/>
        <w:ind w:left="9" w:right="134" w:firstLine="639"/>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lang w:val="en-US" w:eastAsia="zh-CN"/>
        </w:rPr>
        <w:t>结合项目特点，评价方法主要采用目标预定与实施效果相比较，进行定性分析和定量分析</w:t>
      </w:r>
      <w:r>
        <w:rPr>
          <w:rFonts w:hint="eastAsia" w:ascii="仿宋_GB2312" w:hAnsi="仿宋_GB2312" w:eastAsia="仿宋_GB2312" w:cs="仿宋_GB2312"/>
          <w:color w:val="auto"/>
          <w:spacing w:val="8"/>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224" w:lineRule="auto"/>
        <w:ind w:left="703"/>
        <w:textAlignment w:val="baseline"/>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4.评价标准</w:t>
      </w:r>
    </w:p>
    <w:p>
      <w:pPr>
        <w:spacing w:before="182" w:line="341" w:lineRule="auto"/>
        <w:ind w:left="64" w:right="27" w:firstLine="64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lang w:val="en-US" w:eastAsia="zh-CN"/>
        </w:rPr>
        <w:t>绩效评价标准是指衡量财政支出绩效目标完成程度的尺度。绩效评价标准具体包括：计划标准、行业标准、历史标准、经财政部门和预算部门确认或认可的其他标准</w:t>
      </w:r>
      <w:r>
        <w:rPr>
          <w:rFonts w:hint="eastAsia" w:ascii="仿宋_GB2312" w:hAnsi="仿宋_GB2312" w:eastAsia="仿宋_GB2312" w:cs="仿宋_GB2312"/>
          <w:color w:val="auto"/>
          <w:spacing w:val="4"/>
          <w:sz w:val="32"/>
          <w:szCs w:val="32"/>
        </w:rPr>
        <w:t>。</w:t>
      </w:r>
    </w:p>
    <w:p>
      <w:pPr>
        <w:spacing w:before="1" w:line="222" w:lineRule="auto"/>
        <w:ind w:left="869"/>
        <w:outlineLvl w:val="2"/>
        <w:rPr>
          <w:rFonts w:ascii="楷体" w:hAnsi="楷体" w:eastAsia="楷体" w:cs="楷体"/>
          <w:color w:val="auto"/>
          <w:sz w:val="31"/>
          <w:szCs w:val="31"/>
        </w:rPr>
      </w:pPr>
      <w:r>
        <w:rPr>
          <w:rFonts w:ascii="楷体" w:hAnsi="楷体" w:eastAsia="楷体" w:cs="楷体"/>
          <w:b/>
          <w:bCs/>
          <w:color w:val="auto"/>
          <w:spacing w:val="23"/>
          <w:sz w:val="31"/>
          <w:szCs w:val="31"/>
        </w:rPr>
        <w:t>(三)绩效评价工作过程</w:t>
      </w:r>
    </w:p>
    <w:p>
      <w:pPr>
        <w:spacing w:before="213" w:line="222" w:lineRule="auto"/>
        <w:ind w:left="71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1"/>
          <w:sz w:val="32"/>
          <w:szCs w:val="32"/>
        </w:rPr>
        <w:t>1.前期准备(</w:t>
      </w:r>
      <w:r>
        <w:rPr>
          <w:rFonts w:hint="eastAsia" w:ascii="仿宋_GB2312" w:hAnsi="仿宋_GB2312" w:eastAsia="仿宋_GB2312" w:cs="仿宋_GB2312"/>
          <w:color w:val="auto"/>
          <w:spacing w:val="41"/>
          <w:sz w:val="32"/>
          <w:szCs w:val="32"/>
          <w:lang w:val="en-US" w:eastAsia="zh-CN"/>
        </w:rPr>
        <w:t>8</w:t>
      </w:r>
      <w:r>
        <w:rPr>
          <w:rFonts w:hint="eastAsia" w:ascii="仿宋_GB2312" w:hAnsi="仿宋_GB2312" w:eastAsia="仿宋_GB2312" w:cs="仿宋_GB2312"/>
          <w:color w:val="auto"/>
          <w:spacing w:val="41"/>
          <w:sz w:val="32"/>
          <w:szCs w:val="32"/>
        </w:rPr>
        <w:t>月</w:t>
      </w:r>
      <w:r>
        <w:rPr>
          <w:rFonts w:hint="eastAsia" w:ascii="仿宋_GB2312" w:hAnsi="仿宋_GB2312" w:eastAsia="仿宋_GB2312" w:cs="仿宋_GB2312"/>
          <w:color w:val="auto"/>
          <w:spacing w:val="41"/>
          <w:sz w:val="32"/>
          <w:szCs w:val="32"/>
          <w:lang w:val="en-US" w:eastAsia="zh-CN"/>
        </w:rPr>
        <w:t>1</w:t>
      </w:r>
      <w:r>
        <w:rPr>
          <w:rFonts w:hint="eastAsia" w:ascii="仿宋_GB2312" w:hAnsi="仿宋_GB2312" w:eastAsia="仿宋_GB2312" w:cs="仿宋_GB2312"/>
          <w:color w:val="auto"/>
          <w:spacing w:val="41"/>
          <w:sz w:val="32"/>
          <w:szCs w:val="32"/>
        </w:rPr>
        <w:t>日前)</w:t>
      </w:r>
    </w:p>
    <w:p>
      <w:pPr>
        <w:spacing w:before="192" w:line="339" w:lineRule="auto"/>
        <w:ind w:left="64" w:right="18" w:firstLine="64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9"/>
          <w:sz w:val="32"/>
          <w:szCs w:val="32"/>
        </w:rPr>
        <w:t>组织项目绩效</w:t>
      </w:r>
      <w:r>
        <w:rPr>
          <w:rFonts w:hint="eastAsia" w:ascii="仿宋_GB2312" w:hAnsi="仿宋_GB2312" w:eastAsia="仿宋_GB2312" w:cs="仿宋_GB2312"/>
          <w:color w:val="auto"/>
          <w:spacing w:val="9"/>
          <w:sz w:val="32"/>
          <w:szCs w:val="32"/>
          <w:lang w:val="en-US" w:eastAsia="zh-CN"/>
        </w:rPr>
        <w:t>评价成员</w:t>
      </w:r>
      <w:r>
        <w:rPr>
          <w:rFonts w:hint="eastAsia" w:ascii="仿宋_GB2312" w:hAnsi="仿宋_GB2312" w:eastAsia="仿宋_GB2312" w:cs="仿宋_GB2312"/>
          <w:color w:val="auto"/>
          <w:spacing w:val="9"/>
          <w:sz w:val="32"/>
          <w:szCs w:val="32"/>
        </w:rPr>
        <w:t>深入学习</w:t>
      </w:r>
      <w:r>
        <w:rPr>
          <w:rFonts w:hint="eastAsia" w:ascii="仿宋_GB2312" w:hAnsi="仿宋_GB2312" w:eastAsia="仿宋_GB2312" w:cs="仿宋_GB2312"/>
          <w:color w:val="auto"/>
          <w:spacing w:val="15"/>
          <w:sz w:val="32"/>
          <w:szCs w:val="32"/>
        </w:rPr>
        <w:t>海南省财政厅关于印发《海南省项目支出绩效评价管</w:t>
      </w:r>
      <w:r>
        <w:rPr>
          <w:rFonts w:hint="eastAsia" w:ascii="仿宋_GB2312" w:hAnsi="仿宋_GB2312" w:eastAsia="仿宋_GB2312" w:cs="仿宋_GB2312"/>
          <w:color w:val="auto"/>
          <w:spacing w:val="9"/>
          <w:sz w:val="32"/>
          <w:szCs w:val="32"/>
        </w:rPr>
        <w:t>理实施办法》的通知</w:t>
      </w:r>
      <w:r>
        <w:rPr>
          <w:rFonts w:hint="eastAsia" w:ascii="仿宋_GB2312" w:hAnsi="仿宋_GB2312" w:eastAsia="仿宋_GB2312" w:cs="仿宋_GB2312"/>
          <w:color w:val="auto"/>
          <w:spacing w:val="9"/>
          <w:sz w:val="32"/>
          <w:szCs w:val="32"/>
          <w:lang w:val="en-US" w:eastAsia="zh-CN"/>
        </w:rPr>
        <w:t>以及</w:t>
      </w:r>
      <w:r>
        <w:rPr>
          <w:rFonts w:hint="eastAsia" w:ascii="仿宋_GB2312" w:hAnsi="仿宋_GB2312" w:eastAsia="仿宋_GB2312" w:cs="仿宋_GB2312"/>
          <w:color w:val="auto"/>
          <w:spacing w:val="9"/>
          <w:sz w:val="32"/>
          <w:szCs w:val="32"/>
        </w:rPr>
        <w:t>关于印发《海南省本级财政支出预算事前绩效评估管理暂行办法》通知等文件，认真研究同时</w:t>
      </w:r>
      <w:r>
        <w:rPr>
          <w:rFonts w:hint="eastAsia" w:ascii="仿宋_GB2312" w:hAnsi="仿宋_GB2312" w:eastAsia="仿宋_GB2312" w:cs="仿宋_GB2312"/>
          <w:color w:val="auto"/>
          <w:spacing w:val="10"/>
          <w:sz w:val="32"/>
          <w:szCs w:val="32"/>
        </w:rPr>
        <w:t>结合实际情况</w:t>
      </w:r>
      <w:r>
        <w:rPr>
          <w:rFonts w:hint="eastAsia" w:ascii="仿宋_GB2312" w:hAnsi="仿宋_GB2312" w:eastAsia="仿宋_GB2312" w:cs="仿宋_GB2312"/>
          <w:color w:val="auto"/>
          <w:spacing w:val="22"/>
          <w:sz w:val="32"/>
          <w:szCs w:val="32"/>
        </w:rPr>
        <w:t>，制定</w:t>
      </w:r>
      <w:r>
        <w:rPr>
          <w:rFonts w:hint="eastAsia" w:ascii="仿宋_GB2312" w:hAnsi="仿宋_GB2312" w:eastAsia="仿宋_GB2312" w:cs="仿宋_GB2312"/>
          <w:color w:val="auto"/>
          <w:spacing w:val="22"/>
          <w:sz w:val="32"/>
          <w:szCs w:val="32"/>
          <w:lang w:val="en-US" w:eastAsia="zh-CN"/>
        </w:rPr>
        <w:t>2024年度我院</w:t>
      </w:r>
      <w:r>
        <w:rPr>
          <w:rFonts w:hint="eastAsia" w:ascii="仿宋_GB2312" w:hAnsi="仿宋_GB2312" w:eastAsia="仿宋_GB2312" w:cs="仿宋_GB2312"/>
          <w:color w:val="auto"/>
          <w:spacing w:val="22"/>
          <w:sz w:val="32"/>
          <w:szCs w:val="32"/>
          <w:lang w:eastAsia="zh-CN"/>
        </w:rPr>
        <w:t>执法办案</w:t>
      </w:r>
      <w:r>
        <w:rPr>
          <w:rFonts w:hint="eastAsia" w:ascii="仿宋_GB2312" w:hAnsi="仿宋_GB2312" w:eastAsia="仿宋_GB2312" w:cs="仿宋_GB2312"/>
          <w:color w:val="auto"/>
          <w:spacing w:val="22"/>
          <w:sz w:val="32"/>
          <w:szCs w:val="32"/>
        </w:rPr>
        <w:t>项目资金绩效评价指标</w:t>
      </w:r>
      <w:r>
        <w:rPr>
          <w:rFonts w:hint="eastAsia" w:ascii="仿宋_GB2312" w:hAnsi="仿宋_GB2312" w:eastAsia="仿宋_GB2312" w:cs="仿宋_GB2312"/>
          <w:color w:val="auto"/>
          <w:spacing w:val="7"/>
          <w:sz w:val="32"/>
          <w:szCs w:val="32"/>
        </w:rPr>
        <w:t>体系</w:t>
      </w:r>
      <w:r>
        <w:rPr>
          <w:rFonts w:hint="eastAsia" w:ascii="仿宋_GB2312" w:hAnsi="仿宋_GB2312" w:eastAsia="仿宋_GB2312" w:cs="仿宋_GB2312"/>
          <w:color w:val="auto"/>
          <w:spacing w:val="7"/>
          <w:sz w:val="32"/>
          <w:szCs w:val="32"/>
          <w:lang w:val="en-US" w:eastAsia="zh-CN"/>
        </w:rPr>
        <w:t>和</w:t>
      </w:r>
      <w:r>
        <w:rPr>
          <w:rFonts w:hint="eastAsia" w:ascii="仿宋_GB2312" w:hAnsi="仿宋_GB2312" w:eastAsia="仿宋_GB2312" w:cs="仿宋_GB2312"/>
          <w:color w:val="auto"/>
          <w:spacing w:val="7"/>
          <w:sz w:val="32"/>
          <w:szCs w:val="32"/>
        </w:rPr>
        <w:t>评价标准。</w:t>
      </w:r>
    </w:p>
    <w:p>
      <w:pPr>
        <w:spacing w:before="45" w:line="222" w:lineRule="auto"/>
        <w:ind w:left="71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3"/>
          <w:sz w:val="32"/>
          <w:szCs w:val="32"/>
        </w:rPr>
        <w:t>2.数据采集和</w:t>
      </w:r>
      <w:r>
        <w:rPr>
          <w:rFonts w:hint="eastAsia" w:ascii="仿宋_GB2312" w:hAnsi="仿宋_GB2312" w:eastAsia="仿宋_GB2312" w:cs="仿宋_GB2312"/>
          <w:color w:val="auto"/>
          <w:spacing w:val="33"/>
          <w:sz w:val="32"/>
          <w:szCs w:val="32"/>
          <w:lang w:val="en-US" w:eastAsia="zh-CN"/>
        </w:rPr>
        <w:t>评价</w:t>
      </w:r>
      <w:r>
        <w:rPr>
          <w:rFonts w:hint="eastAsia" w:ascii="仿宋_GB2312" w:hAnsi="仿宋_GB2312" w:eastAsia="仿宋_GB2312" w:cs="仿宋_GB2312"/>
          <w:color w:val="auto"/>
          <w:spacing w:val="33"/>
          <w:sz w:val="32"/>
          <w:szCs w:val="32"/>
        </w:rPr>
        <w:t>阶段(</w:t>
      </w:r>
      <w:r>
        <w:rPr>
          <w:rFonts w:hint="eastAsia" w:ascii="仿宋_GB2312" w:hAnsi="仿宋_GB2312" w:eastAsia="仿宋_GB2312" w:cs="仿宋_GB2312"/>
          <w:color w:val="auto"/>
          <w:spacing w:val="33"/>
          <w:sz w:val="32"/>
          <w:szCs w:val="32"/>
          <w:lang w:val="en-US" w:eastAsia="zh-CN"/>
        </w:rPr>
        <w:t>8</w:t>
      </w:r>
      <w:r>
        <w:rPr>
          <w:rFonts w:hint="eastAsia" w:ascii="仿宋_GB2312" w:hAnsi="仿宋_GB2312" w:eastAsia="仿宋_GB2312" w:cs="仿宋_GB2312"/>
          <w:color w:val="auto"/>
          <w:spacing w:val="33"/>
          <w:sz w:val="32"/>
          <w:szCs w:val="32"/>
        </w:rPr>
        <w:t>月</w:t>
      </w:r>
      <w:r>
        <w:rPr>
          <w:rFonts w:hint="eastAsia" w:ascii="仿宋_GB2312" w:hAnsi="仿宋_GB2312" w:eastAsia="仿宋_GB2312" w:cs="仿宋_GB2312"/>
          <w:color w:val="auto"/>
          <w:spacing w:val="33"/>
          <w:sz w:val="32"/>
          <w:szCs w:val="32"/>
          <w:lang w:val="en-US" w:eastAsia="zh-CN"/>
        </w:rPr>
        <w:t>1</w:t>
      </w:r>
      <w:r>
        <w:rPr>
          <w:rFonts w:hint="eastAsia" w:ascii="仿宋_GB2312" w:hAnsi="仿宋_GB2312" w:eastAsia="仿宋_GB2312" w:cs="仿宋_GB2312"/>
          <w:color w:val="auto"/>
          <w:spacing w:val="33"/>
          <w:sz w:val="32"/>
          <w:szCs w:val="32"/>
        </w:rPr>
        <w:t>日</w:t>
      </w:r>
      <w:r>
        <w:rPr>
          <w:rFonts w:hint="eastAsia" w:ascii="仿宋_GB2312" w:hAnsi="仿宋_GB2312" w:eastAsia="仿宋_GB2312" w:cs="仿宋_GB2312"/>
          <w:color w:val="auto"/>
          <w:spacing w:val="33"/>
          <w:sz w:val="32"/>
          <w:szCs w:val="32"/>
          <w:lang w:val="en-US" w:eastAsia="zh-CN"/>
        </w:rPr>
        <w:t>-8月11日</w:t>
      </w:r>
      <w:r>
        <w:rPr>
          <w:rFonts w:hint="eastAsia" w:ascii="仿宋_GB2312" w:hAnsi="仿宋_GB2312" w:eastAsia="仿宋_GB2312" w:cs="仿宋_GB2312"/>
          <w:color w:val="auto"/>
          <w:spacing w:val="33"/>
          <w:sz w:val="32"/>
          <w:szCs w:val="32"/>
        </w:rPr>
        <w:t>)</w:t>
      </w:r>
    </w:p>
    <w:p>
      <w:pPr>
        <w:spacing w:before="189" w:line="339" w:lineRule="auto"/>
        <w:ind w:left="50" w:firstLine="66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0"/>
          <w:sz w:val="32"/>
          <w:szCs w:val="32"/>
        </w:rPr>
        <w:t>项目</w:t>
      </w:r>
      <w:r>
        <w:rPr>
          <w:rFonts w:hint="eastAsia" w:ascii="仿宋_GB2312" w:hAnsi="仿宋_GB2312" w:eastAsia="仿宋_GB2312" w:cs="仿宋_GB2312"/>
          <w:color w:val="auto"/>
          <w:spacing w:val="9"/>
          <w:sz w:val="32"/>
          <w:szCs w:val="32"/>
        </w:rPr>
        <w:t>绩效</w:t>
      </w:r>
      <w:r>
        <w:rPr>
          <w:rFonts w:hint="eastAsia" w:ascii="仿宋_GB2312" w:hAnsi="仿宋_GB2312" w:eastAsia="仿宋_GB2312" w:cs="仿宋_GB2312"/>
          <w:color w:val="auto"/>
          <w:spacing w:val="9"/>
          <w:sz w:val="32"/>
          <w:szCs w:val="32"/>
          <w:lang w:val="en-US" w:eastAsia="zh-CN"/>
        </w:rPr>
        <w:t>评价成员</w:t>
      </w:r>
      <w:r>
        <w:rPr>
          <w:rFonts w:hint="eastAsia" w:ascii="仿宋_GB2312" w:hAnsi="仿宋_GB2312" w:eastAsia="仿宋_GB2312" w:cs="仿宋_GB2312"/>
          <w:color w:val="auto"/>
          <w:spacing w:val="10"/>
          <w:sz w:val="32"/>
          <w:szCs w:val="32"/>
        </w:rPr>
        <w:t>认真做好基础资料和相关数据的收集、整理工作，</w:t>
      </w:r>
      <w:r>
        <w:rPr>
          <w:rFonts w:hint="eastAsia" w:ascii="仿宋_GB2312" w:hAnsi="仿宋_GB2312" w:eastAsia="仿宋_GB2312" w:cs="仿宋_GB2312"/>
          <w:color w:val="auto"/>
          <w:spacing w:val="10"/>
          <w:sz w:val="32"/>
          <w:szCs w:val="32"/>
          <w:lang w:val="en-US" w:eastAsia="zh-CN"/>
        </w:rPr>
        <w:t>通过对</w:t>
      </w:r>
      <w:r>
        <w:rPr>
          <w:rFonts w:hint="eastAsia" w:ascii="仿宋_GB2312" w:hAnsi="仿宋_GB2312" w:eastAsia="仿宋_GB2312" w:cs="仿宋_GB2312"/>
          <w:color w:val="auto"/>
          <w:spacing w:val="10"/>
          <w:sz w:val="32"/>
          <w:szCs w:val="32"/>
        </w:rPr>
        <w:t>收集的数据、资料进行分析和评价，</w:t>
      </w:r>
      <w:r>
        <w:rPr>
          <w:rFonts w:hint="eastAsia" w:ascii="仿宋_GB2312" w:hAnsi="仿宋_GB2312" w:eastAsia="仿宋_GB2312" w:cs="仿宋_GB2312"/>
          <w:color w:val="auto"/>
          <w:spacing w:val="10"/>
          <w:sz w:val="32"/>
          <w:szCs w:val="32"/>
          <w:lang w:val="en-US" w:eastAsia="zh-CN"/>
        </w:rPr>
        <w:t>梳理出</w:t>
      </w:r>
      <w:r>
        <w:rPr>
          <w:rFonts w:hint="eastAsia" w:ascii="仿宋_GB2312" w:hAnsi="仿宋_GB2312" w:eastAsia="仿宋_GB2312" w:cs="仿宋_GB2312"/>
          <w:color w:val="auto"/>
          <w:spacing w:val="9"/>
          <w:sz w:val="32"/>
          <w:szCs w:val="32"/>
        </w:rPr>
        <w:t>项目支出绩效</w:t>
      </w:r>
      <w:r>
        <w:rPr>
          <w:rFonts w:hint="eastAsia" w:ascii="仿宋_GB2312" w:hAnsi="仿宋_GB2312" w:eastAsia="仿宋_GB2312" w:cs="仿宋_GB2312"/>
          <w:color w:val="auto"/>
          <w:spacing w:val="9"/>
          <w:sz w:val="32"/>
          <w:szCs w:val="32"/>
          <w:lang w:val="en-US" w:eastAsia="zh-CN"/>
        </w:rPr>
        <w:t>完成</w:t>
      </w:r>
      <w:r>
        <w:rPr>
          <w:rFonts w:hint="eastAsia" w:ascii="仿宋_GB2312" w:hAnsi="仿宋_GB2312" w:eastAsia="仿宋_GB2312" w:cs="仿宋_GB2312"/>
          <w:color w:val="auto"/>
          <w:spacing w:val="9"/>
          <w:sz w:val="32"/>
          <w:szCs w:val="32"/>
        </w:rPr>
        <w:t>结果，做到</w:t>
      </w:r>
      <w:r>
        <w:rPr>
          <w:rFonts w:hint="eastAsia" w:ascii="仿宋_GB2312" w:hAnsi="仿宋_GB2312" w:eastAsia="仿宋_GB2312" w:cs="仿宋_GB2312"/>
          <w:color w:val="auto"/>
          <w:spacing w:val="18"/>
          <w:sz w:val="32"/>
          <w:szCs w:val="32"/>
        </w:rPr>
        <w:t>内容完整、权重合理、数据真实、结果客观</w:t>
      </w:r>
      <w:r>
        <w:rPr>
          <w:rFonts w:hint="eastAsia" w:ascii="仿宋_GB2312" w:hAnsi="仿宋_GB2312" w:eastAsia="仿宋_GB2312" w:cs="仿宋_GB2312"/>
          <w:color w:val="auto"/>
          <w:spacing w:val="6"/>
          <w:sz w:val="32"/>
          <w:szCs w:val="32"/>
        </w:rPr>
        <w:t>。</w:t>
      </w:r>
    </w:p>
    <w:p>
      <w:pPr>
        <w:spacing w:before="41" w:line="220" w:lineRule="auto"/>
        <w:ind w:left="71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3"/>
          <w:sz w:val="32"/>
          <w:szCs w:val="32"/>
        </w:rPr>
        <w:t>3.</w:t>
      </w:r>
      <w:r>
        <w:rPr>
          <w:rFonts w:hint="eastAsia" w:ascii="仿宋_GB2312" w:hAnsi="仿宋_GB2312" w:eastAsia="仿宋_GB2312" w:cs="仿宋_GB2312"/>
          <w:color w:val="auto"/>
          <w:spacing w:val="33"/>
          <w:sz w:val="32"/>
          <w:szCs w:val="32"/>
          <w:lang w:val="en-US" w:eastAsia="zh-CN"/>
        </w:rPr>
        <w:t>评价结果沟通和审核</w:t>
      </w:r>
      <w:r>
        <w:rPr>
          <w:rFonts w:hint="eastAsia" w:ascii="仿宋_GB2312" w:hAnsi="仿宋_GB2312" w:eastAsia="仿宋_GB2312" w:cs="仿宋_GB2312"/>
          <w:color w:val="auto"/>
          <w:spacing w:val="33"/>
          <w:sz w:val="32"/>
          <w:szCs w:val="32"/>
        </w:rPr>
        <w:t>阶段(</w:t>
      </w:r>
      <w:r>
        <w:rPr>
          <w:rFonts w:hint="eastAsia" w:ascii="仿宋_GB2312" w:hAnsi="仿宋_GB2312" w:eastAsia="仿宋_GB2312" w:cs="仿宋_GB2312"/>
          <w:color w:val="auto"/>
          <w:spacing w:val="33"/>
          <w:sz w:val="32"/>
          <w:szCs w:val="32"/>
          <w:lang w:val="en-US" w:eastAsia="zh-CN"/>
        </w:rPr>
        <w:t>8</w:t>
      </w:r>
      <w:r>
        <w:rPr>
          <w:rFonts w:hint="eastAsia" w:ascii="仿宋_GB2312" w:hAnsi="仿宋_GB2312" w:eastAsia="仿宋_GB2312" w:cs="仿宋_GB2312"/>
          <w:color w:val="auto"/>
          <w:spacing w:val="33"/>
          <w:sz w:val="32"/>
          <w:szCs w:val="32"/>
        </w:rPr>
        <w:t>月</w:t>
      </w:r>
      <w:r>
        <w:rPr>
          <w:rFonts w:hint="eastAsia" w:ascii="仿宋_GB2312" w:hAnsi="仿宋_GB2312" w:eastAsia="仿宋_GB2312" w:cs="仿宋_GB2312"/>
          <w:color w:val="auto"/>
          <w:spacing w:val="33"/>
          <w:sz w:val="32"/>
          <w:szCs w:val="32"/>
          <w:lang w:val="en-US" w:eastAsia="zh-CN"/>
        </w:rPr>
        <w:t>20</w:t>
      </w:r>
      <w:r>
        <w:rPr>
          <w:rFonts w:hint="eastAsia" w:ascii="仿宋_GB2312" w:hAnsi="仿宋_GB2312" w:eastAsia="仿宋_GB2312" w:cs="仿宋_GB2312"/>
          <w:color w:val="auto"/>
          <w:spacing w:val="33"/>
          <w:sz w:val="32"/>
          <w:szCs w:val="32"/>
        </w:rPr>
        <w:t>日前)</w:t>
      </w:r>
    </w:p>
    <w:p>
      <w:pPr>
        <w:spacing w:before="127" w:line="341" w:lineRule="auto"/>
        <w:ind w:right="165" w:firstLine="676"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9"/>
          <w:sz w:val="32"/>
          <w:szCs w:val="32"/>
        </w:rPr>
        <w:t>项目绩效评价</w:t>
      </w:r>
      <w:r>
        <w:rPr>
          <w:rFonts w:hint="eastAsia" w:ascii="仿宋_GB2312" w:hAnsi="仿宋_GB2312" w:eastAsia="仿宋_GB2312" w:cs="仿宋_GB2312"/>
          <w:color w:val="auto"/>
          <w:spacing w:val="9"/>
          <w:sz w:val="32"/>
          <w:szCs w:val="32"/>
          <w:lang w:val="en-US" w:eastAsia="zh-CN"/>
        </w:rPr>
        <w:t>成员将</w:t>
      </w:r>
      <w:r>
        <w:rPr>
          <w:rFonts w:hint="eastAsia" w:ascii="仿宋_GB2312" w:hAnsi="仿宋_GB2312" w:eastAsia="仿宋_GB2312" w:cs="仿宋_GB2312"/>
          <w:color w:val="auto"/>
          <w:spacing w:val="8"/>
          <w:sz w:val="32"/>
          <w:szCs w:val="32"/>
        </w:rPr>
        <w:t>《项</w:t>
      </w:r>
      <w:r>
        <w:rPr>
          <w:rFonts w:hint="eastAsia" w:ascii="仿宋_GB2312" w:hAnsi="仿宋_GB2312" w:eastAsia="仿宋_GB2312" w:cs="仿宋_GB2312"/>
          <w:color w:val="auto"/>
          <w:spacing w:val="7"/>
          <w:sz w:val="32"/>
          <w:szCs w:val="32"/>
        </w:rPr>
        <w:t>目支出绩效</w:t>
      </w:r>
      <w:r>
        <w:rPr>
          <w:rFonts w:hint="eastAsia" w:ascii="仿宋_GB2312" w:hAnsi="仿宋_GB2312" w:eastAsia="仿宋_GB2312" w:cs="仿宋_GB2312"/>
          <w:color w:val="auto"/>
          <w:spacing w:val="7"/>
          <w:sz w:val="32"/>
          <w:szCs w:val="32"/>
          <w:lang w:val="en-US" w:eastAsia="zh-CN"/>
        </w:rPr>
        <w:t>评价报告</w:t>
      </w:r>
      <w:r>
        <w:rPr>
          <w:rFonts w:hint="eastAsia" w:ascii="仿宋_GB2312" w:hAnsi="仿宋_GB2312" w:eastAsia="仿宋_GB2312" w:cs="仿宋_GB2312"/>
          <w:color w:val="auto"/>
          <w:spacing w:val="7"/>
          <w:sz w:val="32"/>
          <w:szCs w:val="32"/>
        </w:rPr>
        <w:t>》</w:t>
      </w:r>
      <w:r>
        <w:rPr>
          <w:rFonts w:hint="eastAsia" w:ascii="仿宋_GB2312" w:hAnsi="仿宋_GB2312" w:eastAsia="仿宋_GB2312" w:cs="仿宋_GB2312"/>
          <w:color w:val="auto"/>
          <w:spacing w:val="7"/>
          <w:sz w:val="32"/>
          <w:szCs w:val="32"/>
          <w:lang w:eastAsia="zh-CN"/>
        </w:rPr>
        <w:t>（</w:t>
      </w:r>
      <w:r>
        <w:rPr>
          <w:rFonts w:hint="eastAsia" w:ascii="仿宋_GB2312" w:hAnsi="仿宋_GB2312" w:eastAsia="仿宋_GB2312" w:cs="仿宋_GB2312"/>
          <w:color w:val="auto"/>
          <w:spacing w:val="7"/>
          <w:sz w:val="32"/>
          <w:szCs w:val="32"/>
          <w:lang w:val="en-US" w:eastAsia="zh-CN"/>
        </w:rPr>
        <w:t>征求意见稿）提交</w:t>
      </w:r>
      <w:r>
        <w:rPr>
          <w:rFonts w:hint="eastAsia" w:ascii="仿宋_GB2312" w:hAnsi="仿宋_GB2312" w:eastAsia="仿宋_GB2312" w:cs="仿宋_GB2312"/>
          <w:color w:val="auto"/>
          <w:spacing w:val="9"/>
          <w:sz w:val="32"/>
          <w:szCs w:val="32"/>
        </w:rPr>
        <w:t>项目实施部门</w:t>
      </w:r>
      <w:r>
        <w:rPr>
          <w:rFonts w:hint="eastAsia" w:ascii="仿宋_GB2312" w:hAnsi="仿宋_GB2312" w:eastAsia="仿宋_GB2312" w:cs="仿宋_GB2312"/>
          <w:color w:val="auto"/>
          <w:spacing w:val="7"/>
          <w:sz w:val="32"/>
          <w:szCs w:val="32"/>
        </w:rPr>
        <w:t>进行审核，审核通过后，项目实施部门</w:t>
      </w:r>
      <w:r>
        <w:rPr>
          <w:rFonts w:hint="eastAsia" w:ascii="仿宋_GB2312" w:hAnsi="仿宋_GB2312" w:eastAsia="仿宋_GB2312" w:cs="仿宋_GB2312"/>
          <w:color w:val="auto"/>
          <w:spacing w:val="24"/>
          <w:sz w:val="32"/>
          <w:szCs w:val="32"/>
        </w:rPr>
        <w:t>按照要求</w:t>
      </w:r>
      <w:r>
        <w:rPr>
          <w:rFonts w:hint="eastAsia" w:ascii="仿宋_GB2312" w:hAnsi="仿宋_GB2312" w:eastAsia="仿宋_GB2312" w:cs="仿宋_GB2312"/>
          <w:color w:val="auto"/>
          <w:spacing w:val="9"/>
          <w:sz w:val="32"/>
          <w:szCs w:val="32"/>
        </w:rPr>
        <w:t>通过预算一体化系统报送至海南省财政厅对口业务</w:t>
      </w:r>
      <w:r>
        <w:rPr>
          <w:rFonts w:hint="eastAsia" w:ascii="仿宋_GB2312" w:hAnsi="仿宋_GB2312" w:eastAsia="仿宋_GB2312" w:cs="仿宋_GB2312"/>
          <w:color w:val="auto"/>
          <w:spacing w:val="-16"/>
          <w:sz w:val="32"/>
          <w:szCs w:val="32"/>
        </w:rPr>
        <w:t>处。</w:t>
      </w:r>
    </w:p>
    <w:p>
      <w:pPr>
        <w:spacing w:before="6" w:line="222" w:lineRule="auto"/>
        <w:ind w:left="664"/>
        <w:outlineLvl w:val="2"/>
        <w:rPr>
          <w:rFonts w:ascii="黑体" w:hAnsi="黑体" w:eastAsia="黑体" w:cs="黑体"/>
          <w:color w:val="auto"/>
          <w:sz w:val="31"/>
          <w:szCs w:val="31"/>
        </w:rPr>
      </w:pPr>
      <w:r>
        <w:rPr>
          <w:rFonts w:ascii="黑体" w:hAnsi="黑体" w:eastAsia="黑体" w:cs="黑体"/>
          <w:b/>
          <w:bCs/>
          <w:color w:val="auto"/>
          <w:spacing w:val="4"/>
          <w:sz w:val="31"/>
          <w:szCs w:val="31"/>
        </w:rPr>
        <w:t>三、综合评价情况及评价结论</w:t>
      </w:r>
    </w:p>
    <w:p>
      <w:pPr>
        <w:tabs>
          <w:tab w:val="left" w:pos="158"/>
        </w:tabs>
        <w:spacing w:before="211" w:line="338" w:lineRule="auto"/>
        <w:ind w:right="125" w:firstLine="659"/>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7"/>
          <w:sz w:val="32"/>
          <w:szCs w:val="32"/>
        </w:rPr>
        <w:t>围绕绩效评价指标体系，</w:t>
      </w:r>
      <w:r>
        <w:rPr>
          <w:rFonts w:hint="eastAsia" w:ascii="仿宋_GB2312" w:hAnsi="仿宋_GB2312" w:eastAsia="仿宋_GB2312" w:cs="仿宋_GB2312"/>
          <w:color w:val="auto"/>
          <w:spacing w:val="7"/>
          <w:sz w:val="32"/>
          <w:szCs w:val="32"/>
          <w:lang w:val="en-US" w:eastAsia="zh-CN"/>
        </w:rPr>
        <w:t>项目</w:t>
      </w:r>
      <w:r>
        <w:rPr>
          <w:rFonts w:hint="eastAsia" w:ascii="仿宋_GB2312" w:hAnsi="仿宋_GB2312" w:eastAsia="仿宋_GB2312" w:cs="仿宋_GB2312"/>
          <w:color w:val="auto"/>
          <w:spacing w:val="7"/>
          <w:sz w:val="32"/>
          <w:szCs w:val="32"/>
        </w:rPr>
        <w:t>绩效评价</w:t>
      </w:r>
      <w:r>
        <w:rPr>
          <w:rFonts w:hint="eastAsia" w:ascii="仿宋_GB2312" w:hAnsi="仿宋_GB2312" w:eastAsia="仿宋_GB2312" w:cs="仿宋_GB2312"/>
          <w:color w:val="auto"/>
          <w:spacing w:val="7"/>
          <w:sz w:val="32"/>
          <w:szCs w:val="32"/>
          <w:lang w:val="en-US" w:eastAsia="zh-CN"/>
        </w:rPr>
        <w:t>成员</w:t>
      </w:r>
      <w:r>
        <w:rPr>
          <w:rFonts w:hint="eastAsia" w:ascii="仿宋_GB2312" w:hAnsi="仿宋_GB2312" w:eastAsia="仿宋_GB2312" w:cs="仿宋_GB2312"/>
          <w:color w:val="auto"/>
          <w:spacing w:val="7"/>
          <w:sz w:val="32"/>
          <w:szCs w:val="32"/>
        </w:rPr>
        <w:t>通</w:t>
      </w:r>
      <w:r>
        <w:rPr>
          <w:rFonts w:hint="eastAsia" w:ascii="仿宋_GB2312" w:hAnsi="仿宋_GB2312" w:eastAsia="仿宋_GB2312" w:cs="仿宋_GB2312"/>
          <w:color w:val="auto"/>
          <w:spacing w:val="8"/>
          <w:sz w:val="32"/>
          <w:szCs w:val="32"/>
        </w:rPr>
        <w:t>过数据采集、定量分析、满意度调查等方式，对该项目绩效进行了客观、公正的评价，评价认为</w:t>
      </w:r>
      <w:r>
        <w:rPr>
          <w:rFonts w:hint="eastAsia" w:ascii="仿宋_GB2312" w:hAnsi="仿宋_GB2312" w:eastAsia="仿宋_GB2312" w:cs="仿宋_GB2312"/>
          <w:color w:val="auto"/>
          <w:spacing w:val="7"/>
          <w:sz w:val="32"/>
          <w:szCs w:val="32"/>
        </w:rPr>
        <w:t>，2024年</w:t>
      </w:r>
      <w:r>
        <w:rPr>
          <w:rFonts w:hint="eastAsia" w:ascii="仿宋_GB2312" w:hAnsi="仿宋_GB2312" w:eastAsia="仿宋_GB2312" w:cs="仿宋_GB2312"/>
          <w:color w:val="auto"/>
          <w:spacing w:val="7"/>
          <w:sz w:val="32"/>
          <w:szCs w:val="32"/>
          <w:lang w:val="en-US" w:eastAsia="zh-CN"/>
        </w:rPr>
        <w:t>我院执法办案项目</w:t>
      </w:r>
      <w:r>
        <w:rPr>
          <w:rFonts w:hint="eastAsia" w:ascii="仿宋_GB2312" w:hAnsi="仿宋_GB2312" w:eastAsia="仿宋_GB2312" w:cs="仿宋_GB2312"/>
          <w:color w:val="auto"/>
          <w:spacing w:val="15"/>
          <w:sz w:val="32"/>
          <w:szCs w:val="32"/>
        </w:rPr>
        <w:t>的实施较好</w:t>
      </w:r>
      <w:r>
        <w:rPr>
          <w:rFonts w:hint="eastAsia" w:ascii="仿宋_GB2312" w:hAnsi="仿宋_GB2312" w:eastAsia="仿宋_GB2312" w:cs="仿宋_GB2312"/>
          <w:color w:val="auto"/>
          <w:spacing w:val="15"/>
          <w:sz w:val="32"/>
          <w:szCs w:val="32"/>
          <w:lang w:val="en-US" w:eastAsia="zh-CN"/>
        </w:rPr>
        <w:t>地</w:t>
      </w:r>
      <w:r>
        <w:rPr>
          <w:rFonts w:hint="eastAsia" w:ascii="仿宋_GB2312" w:hAnsi="仿宋_GB2312" w:eastAsia="仿宋_GB2312" w:cs="仿宋_GB2312"/>
          <w:color w:val="auto"/>
          <w:spacing w:val="15"/>
          <w:sz w:val="32"/>
          <w:szCs w:val="32"/>
        </w:rPr>
        <w:t>完成了当年的绩效目标</w:t>
      </w:r>
      <w:r>
        <w:rPr>
          <w:rFonts w:hint="eastAsia" w:ascii="仿宋_GB2312" w:hAnsi="仿宋_GB2312" w:eastAsia="仿宋_GB2312" w:cs="仿宋_GB2312"/>
          <w:color w:val="auto"/>
          <w:spacing w:val="8"/>
          <w:sz w:val="32"/>
          <w:szCs w:val="32"/>
        </w:rPr>
        <w:t>任务，有效发挥了资金使用效益，基本达到了预定的各项工</w:t>
      </w:r>
      <w:r>
        <w:rPr>
          <w:rFonts w:hint="eastAsia" w:ascii="仿宋_GB2312" w:hAnsi="仿宋_GB2312" w:eastAsia="仿宋_GB2312" w:cs="仿宋_GB2312"/>
          <w:color w:val="auto"/>
          <w:spacing w:val="13"/>
          <w:sz w:val="32"/>
          <w:szCs w:val="32"/>
        </w:rPr>
        <w:t>作目标，评价得分为9</w:t>
      </w:r>
      <w:r>
        <w:rPr>
          <w:rFonts w:hint="eastAsia" w:ascii="仿宋_GB2312" w:hAnsi="仿宋_GB2312" w:eastAsia="仿宋_GB2312" w:cs="仿宋_GB2312"/>
          <w:color w:val="auto"/>
          <w:spacing w:val="13"/>
          <w:sz w:val="32"/>
          <w:szCs w:val="32"/>
          <w:lang w:val="en-US" w:eastAsia="zh-CN"/>
        </w:rPr>
        <w:t>9</w:t>
      </w:r>
      <w:r>
        <w:rPr>
          <w:rFonts w:hint="eastAsia" w:ascii="仿宋_GB2312" w:hAnsi="仿宋_GB2312" w:eastAsia="仿宋_GB2312" w:cs="仿宋_GB2312"/>
          <w:color w:val="auto"/>
          <w:spacing w:val="13"/>
          <w:sz w:val="32"/>
          <w:szCs w:val="32"/>
        </w:rPr>
        <w:t>分，绩效等级为“</w:t>
      </w:r>
      <w:r>
        <w:rPr>
          <w:rFonts w:hint="eastAsia" w:ascii="仿宋_GB2312" w:hAnsi="仿宋_GB2312" w:eastAsia="仿宋_GB2312" w:cs="仿宋_GB2312"/>
          <w:color w:val="auto"/>
          <w:spacing w:val="12"/>
          <w:sz w:val="32"/>
          <w:szCs w:val="32"/>
        </w:rPr>
        <w:t>优”。</w:t>
      </w:r>
    </w:p>
    <w:p>
      <w:pPr>
        <w:spacing w:before="1" w:line="220" w:lineRule="auto"/>
        <w:ind w:left="664"/>
        <w:outlineLvl w:val="2"/>
        <w:rPr>
          <w:rFonts w:ascii="黑体" w:hAnsi="黑体" w:eastAsia="黑体" w:cs="黑体"/>
          <w:color w:val="auto"/>
          <w:sz w:val="31"/>
          <w:szCs w:val="31"/>
        </w:rPr>
      </w:pPr>
      <w:r>
        <w:rPr>
          <w:rFonts w:ascii="黑体" w:hAnsi="黑体" w:eastAsia="黑体" w:cs="黑体"/>
          <w:b/>
          <w:bCs/>
          <w:color w:val="auto"/>
          <w:spacing w:val="6"/>
          <w:sz w:val="31"/>
          <w:szCs w:val="31"/>
        </w:rPr>
        <w:t>四、绩效评价指标分析</w:t>
      </w:r>
    </w:p>
    <w:p>
      <w:pPr>
        <w:pStyle w:val="8"/>
        <w:keepNext w:val="0"/>
        <w:keepLines w:val="0"/>
        <w:pageBreakBefore w:val="0"/>
        <w:widowControl/>
        <w:kinsoku/>
        <w:wordWrap/>
        <w:overflowPunct/>
        <w:topLinePunct w:val="0"/>
        <w:autoSpaceDE/>
        <w:autoSpaceDN/>
        <w:bidi w:val="0"/>
        <w:adjustRightInd/>
        <w:snapToGrid/>
        <w:spacing w:line="590" w:lineRule="exact"/>
        <w:ind w:firstLine="676" w:firstLineChars="200"/>
        <w:jc w:val="both"/>
        <w:textAlignment w:val="auto"/>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依据《</w:t>
      </w:r>
      <w:r>
        <w:rPr>
          <w:rFonts w:hint="eastAsia" w:ascii="仿宋_GB2312" w:hAnsi="仿宋_GB2312" w:eastAsia="仿宋_GB2312" w:cs="仿宋_GB2312"/>
          <w:color w:val="auto"/>
          <w:spacing w:val="15"/>
          <w:sz w:val="32"/>
          <w:szCs w:val="32"/>
        </w:rPr>
        <w:t>海南省项目支出绩效评价管</w:t>
      </w:r>
      <w:r>
        <w:rPr>
          <w:rFonts w:hint="eastAsia" w:ascii="仿宋_GB2312" w:hAnsi="仿宋_GB2312" w:eastAsia="仿宋_GB2312" w:cs="仿宋_GB2312"/>
          <w:color w:val="auto"/>
          <w:spacing w:val="9"/>
          <w:sz w:val="32"/>
          <w:szCs w:val="32"/>
        </w:rPr>
        <w:t>理实施办法</w:t>
      </w:r>
      <w:r>
        <w:rPr>
          <w:rFonts w:hint="eastAsia" w:ascii="仿宋_GB2312" w:hAnsi="仿宋_GB2312" w:eastAsia="仿宋_GB2312" w:cs="仿宋_GB2312"/>
          <w:snapToGrid w:val="0"/>
          <w:color w:val="auto"/>
          <w:spacing w:val="9"/>
          <w:kern w:val="0"/>
          <w:sz w:val="32"/>
          <w:szCs w:val="32"/>
          <w:lang w:val="en-US" w:eastAsia="zh-CN" w:bidi="ar-SA"/>
        </w:rPr>
        <w:t>》等文件精神，结合三亚市城郊人民法院本级实际情况，本次具体从项目决策、项目管理、项目产出、项目效益四个方面进行评价，评价得分采用百分制。具体如下：</w:t>
      </w:r>
    </w:p>
    <w:p>
      <w:pPr>
        <w:spacing w:before="205" w:line="224" w:lineRule="auto"/>
        <w:ind w:left="804"/>
        <w:outlineLvl w:val="2"/>
        <w:rPr>
          <w:rFonts w:ascii="楷体" w:hAnsi="楷体" w:eastAsia="楷体" w:cs="楷体"/>
          <w:color w:val="auto"/>
          <w:sz w:val="31"/>
          <w:szCs w:val="31"/>
        </w:rPr>
      </w:pPr>
      <w:r>
        <w:rPr>
          <w:rFonts w:ascii="楷体" w:hAnsi="楷体" w:eastAsia="楷体" w:cs="楷体"/>
          <w:b/>
          <w:bCs/>
          <w:color w:val="auto"/>
          <w:spacing w:val="27"/>
          <w:sz w:val="31"/>
          <w:szCs w:val="31"/>
        </w:rPr>
        <w:t>(一)项目决策情况</w:t>
      </w:r>
    </w:p>
    <w:p>
      <w:pPr>
        <w:spacing w:before="210" w:line="222" w:lineRule="auto"/>
        <w:ind w:left="659"/>
        <w:rPr>
          <w:rFonts w:hint="eastAsia" w:ascii="仿宋_GB2312" w:hAnsi="仿宋_GB2312" w:eastAsia="仿宋_GB2312" w:cs="仿宋_GB2312"/>
          <w:color w:val="auto"/>
          <w:spacing w:val="35"/>
          <w:sz w:val="32"/>
          <w:szCs w:val="32"/>
        </w:rPr>
      </w:pPr>
      <w:r>
        <w:rPr>
          <w:rFonts w:hint="eastAsia" w:ascii="仿宋_GB2312" w:hAnsi="仿宋_GB2312" w:eastAsia="仿宋_GB2312" w:cs="仿宋_GB2312"/>
          <w:color w:val="auto"/>
          <w:spacing w:val="35"/>
          <w:sz w:val="32"/>
          <w:szCs w:val="32"/>
        </w:rPr>
        <w:t>1</w:t>
      </w:r>
      <w:r>
        <w:rPr>
          <w:rFonts w:hint="eastAsia" w:ascii="仿宋_GB2312" w:hAnsi="仿宋_GB2312" w:eastAsia="仿宋_GB2312" w:cs="仿宋_GB2312"/>
          <w:color w:val="auto"/>
          <w:spacing w:val="35"/>
          <w:sz w:val="32"/>
          <w:szCs w:val="32"/>
          <w:lang w:val="en-US" w:eastAsia="zh-CN"/>
        </w:rPr>
        <w:t>.</w:t>
      </w:r>
      <w:r>
        <w:rPr>
          <w:rFonts w:hint="eastAsia" w:ascii="仿宋_GB2312" w:hAnsi="仿宋_GB2312" w:eastAsia="仿宋_GB2312" w:cs="仿宋_GB2312"/>
          <w:color w:val="auto"/>
          <w:spacing w:val="35"/>
          <w:sz w:val="32"/>
          <w:szCs w:val="32"/>
        </w:rPr>
        <w:t>项目立项情况分析(满分4分，得4分)</w:t>
      </w: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firstLine="676" w:firstLineChars="200"/>
        <w:textAlignment w:val="auto"/>
        <w:rPr>
          <w:rFonts w:hint="eastAsia" w:ascii="仿宋_GB2312" w:hAnsi="仿宋_GB2312" w:eastAsia="仿宋_GB2312" w:cs="仿宋_GB2312"/>
          <w:snapToGrid w:val="0"/>
          <w:color w:val="auto"/>
          <w:spacing w:val="9"/>
          <w:kern w:val="0"/>
          <w:sz w:val="32"/>
          <w:szCs w:val="32"/>
          <w:lang w:val="en-US" w:eastAsia="en-US" w:bidi="ar-SA"/>
        </w:rPr>
      </w:pPr>
      <w:r>
        <w:rPr>
          <w:rFonts w:hint="eastAsia" w:ascii="仿宋_GB2312" w:hAnsi="仿宋_GB2312" w:eastAsia="仿宋_GB2312" w:cs="仿宋_GB2312"/>
          <w:snapToGrid w:val="0"/>
          <w:color w:val="auto"/>
          <w:spacing w:val="9"/>
          <w:kern w:val="0"/>
          <w:sz w:val="32"/>
          <w:szCs w:val="32"/>
          <w:lang w:val="en-US" w:eastAsia="zh-CN" w:bidi="ar-SA"/>
        </w:rPr>
        <w:t>（1）立项依据充分性</w:t>
      </w:r>
      <w:r>
        <w:rPr>
          <w:rFonts w:hint="eastAsia" w:ascii="仿宋_GB2312" w:hAnsi="仿宋_GB2312" w:eastAsia="仿宋_GB2312" w:cs="仿宋_GB2312"/>
          <w:snapToGrid w:val="0"/>
          <w:color w:val="auto"/>
          <w:spacing w:val="9"/>
          <w:kern w:val="0"/>
          <w:sz w:val="32"/>
          <w:szCs w:val="32"/>
          <w:lang w:val="en-US" w:eastAsia="en-US" w:bidi="ar-SA"/>
        </w:rPr>
        <w:t>（指标分值2分，得分</w:t>
      </w:r>
      <w:r>
        <w:rPr>
          <w:rFonts w:hint="eastAsia" w:ascii="仿宋_GB2312" w:hAnsi="仿宋_GB2312" w:eastAsia="仿宋_GB2312" w:cs="仿宋_GB2312"/>
          <w:snapToGrid w:val="0"/>
          <w:color w:val="auto"/>
          <w:spacing w:val="9"/>
          <w:kern w:val="0"/>
          <w:sz w:val="32"/>
          <w:szCs w:val="32"/>
          <w:lang w:val="en-US" w:eastAsia="zh-CN" w:bidi="ar-SA"/>
        </w:rPr>
        <w:t>2</w:t>
      </w:r>
      <w:r>
        <w:rPr>
          <w:rFonts w:hint="eastAsia" w:ascii="仿宋_GB2312" w:hAnsi="仿宋_GB2312" w:eastAsia="仿宋_GB2312" w:cs="仿宋_GB2312"/>
          <w:snapToGrid w:val="0"/>
          <w:color w:val="auto"/>
          <w:spacing w:val="9"/>
          <w:kern w:val="0"/>
          <w:sz w:val="32"/>
          <w:szCs w:val="32"/>
          <w:lang w:val="en-US" w:eastAsia="en-US" w:bidi="ar-SA"/>
        </w:rPr>
        <w:t>分）</w:t>
      </w:r>
    </w:p>
    <w:p>
      <w:pPr>
        <w:pStyle w:val="8"/>
        <w:keepNext w:val="0"/>
        <w:keepLines w:val="0"/>
        <w:pageBreakBefore w:val="0"/>
        <w:widowControl/>
        <w:kinsoku/>
        <w:wordWrap/>
        <w:overflowPunct/>
        <w:topLinePunct w:val="0"/>
        <w:autoSpaceDE/>
        <w:autoSpaceDN/>
        <w:bidi w:val="0"/>
        <w:adjustRightInd/>
        <w:snapToGrid/>
        <w:spacing w:line="590" w:lineRule="exact"/>
        <w:ind w:firstLine="676" w:firstLineChars="200"/>
        <w:jc w:val="both"/>
        <w:textAlignment w:val="auto"/>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指标说明：项目立项是否符合法律法规、相关政策 、 发展规划以及部门职责，用以反映和考核项目立项依据情况。</w:t>
      </w:r>
    </w:p>
    <w:p>
      <w:pPr>
        <w:pStyle w:val="8"/>
        <w:keepNext w:val="0"/>
        <w:keepLines w:val="0"/>
        <w:pageBreakBefore w:val="0"/>
        <w:widowControl/>
        <w:kinsoku/>
        <w:wordWrap/>
        <w:overflowPunct/>
        <w:topLinePunct w:val="0"/>
        <w:autoSpaceDE/>
        <w:autoSpaceDN/>
        <w:bidi w:val="0"/>
        <w:adjustRightInd/>
        <w:snapToGrid/>
        <w:spacing w:line="590" w:lineRule="exact"/>
        <w:ind w:firstLine="676" w:firstLineChars="200"/>
        <w:jc w:val="both"/>
        <w:textAlignment w:val="auto"/>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评分标准：①项目立项是否符合国家法律法规、国民经济发展规划和相关政策；②项目立项是否符合行业发展规划和政策要求；③项目立项是否与部门职责范围相符，属于部门履职所需；④项目是否属于公共财政支持范围；⑤项目是否与相关部门同类项目或部门内部相关项目重复。以上要求全部符合得2分，否则不得分。</w:t>
      </w:r>
    </w:p>
    <w:p>
      <w:pPr>
        <w:pStyle w:val="8"/>
        <w:keepNext w:val="0"/>
        <w:keepLines w:val="0"/>
        <w:pageBreakBefore w:val="0"/>
        <w:widowControl/>
        <w:kinsoku/>
        <w:wordWrap/>
        <w:overflowPunct/>
        <w:topLinePunct w:val="0"/>
        <w:autoSpaceDE/>
        <w:autoSpaceDN/>
        <w:bidi w:val="0"/>
        <w:adjustRightInd/>
        <w:snapToGrid/>
        <w:spacing w:line="590" w:lineRule="exact"/>
        <w:ind w:firstLine="676" w:firstLineChars="200"/>
        <w:jc w:val="both"/>
        <w:textAlignment w:val="auto"/>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评价情况：该项目立项符合国家法律法规、国民经济发展规划和相关政策，符合相关行业发展规划的要求，且与部门职责范围相符，属于部门履职所需和公共财政支持的范围。</w:t>
      </w:r>
    </w:p>
    <w:p>
      <w:pPr>
        <w:pStyle w:val="8"/>
        <w:keepNext w:val="0"/>
        <w:keepLines w:val="0"/>
        <w:pageBreakBefore w:val="0"/>
        <w:widowControl/>
        <w:kinsoku/>
        <w:wordWrap/>
        <w:overflowPunct/>
        <w:topLinePunct w:val="0"/>
        <w:autoSpaceDE/>
        <w:autoSpaceDN/>
        <w:bidi w:val="0"/>
        <w:adjustRightInd/>
        <w:snapToGrid/>
        <w:spacing w:line="590" w:lineRule="exact"/>
        <w:ind w:firstLine="676" w:firstLineChars="200"/>
        <w:jc w:val="both"/>
        <w:textAlignment w:val="auto"/>
        <w:rPr>
          <w:rFonts w:hint="eastAsia" w:ascii="仿宋_GB2312" w:hAnsi="仿宋_GB2312" w:eastAsia="仿宋_GB2312" w:cs="仿宋_GB2312"/>
          <w:snapToGrid w:val="0"/>
          <w:color w:val="auto"/>
          <w:spacing w:val="9"/>
          <w:kern w:val="0"/>
          <w:sz w:val="32"/>
          <w:szCs w:val="32"/>
          <w:lang w:val="en-US" w:eastAsia="en-US" w:bidi="ar-SA"/>
        </w:rPr>
      </w:pPr>
      <w:r>
        <w:rPr>
          <w:rFonts w:hint="eastAsia" w:ascii="仿宋_GB2312" w:hAnsi="仿宋_GB2312" w:eastAsia="仿宋_GB2312" w:cs="仿宋_GB2312"/>
          <w:snapToGrid w:val="0"/>
          <w:color w:val="auto"/>
          <w:spacing w:val="9"/>
          <w:kern w:val="0"/>
          <w:sz w:val="32"/>
          <w:szCs w:val="32"/>
          <w:lang w:val="en-US" w:eastAsia="en-US" w:bidi="ar-SA"/>
        </w:rPr>
        <w:t>综合上述分析，</w:t>
      </w:r>
      <w:r>
        <w:rPr>
          <w:rFonts w:hint="eastAsia" w:ascii="仿宋_GB2312" w:hAnsi="仿宋_GB2312" w:eastAsia="仿宋_GB2312" w:cs="仿宋_GB2312"/>
          <w:color w:val="auto"/>
          <w:kern w:val="0"/>
          <w:sz w:val="32"/>
          <w:szCs w:val="32"/>
        </w:rPr>
        <w:t>根据评分标准，该指标得分2分</w:t>
      </w:r>
      <w:r>
        <w:rPr>
          <w:rFonts w:hint="eastAsia" w:ascii="仿宋_GB2312" w:hAnsi="仿宋_GB2312" w:eastAsia="仿宋_GB2312" w:cs="仿宋_GB2312"/>
          <w:snapToGrid w:val="0"/>
          <w:color w:val="auto"/>
          <w:spacing w:val="9"/>
          <w:kern w:val="0"/>
          <w:sz w:val="32"/>
          <w:szCs w:val="32"/>
          <w:lang w:val="en-US" w:eastAsia="en-US" w:bidi="ar-SA"/>
        </w:rPr>
        <w:t>。</w:t>
      </w: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firstLine="676" w:firstLineChars="200"/>
        <w:textAlignment w:val="auto"/>
        <w:rPr>
          <w:rFonts w:hint="eastAsia" w:ascii="仿宋_GB2312" w:hAnsi="仿宋_GB2312" w:eastAsia="仿宋_GB2312" w:cs="仿宋_GB2312"/>
          <w:snapToGrid w:val="0"/>
          <w:color w:val="auto"/>
          <w:spacing w:val="9"/>
          <w:kern w:val="0"/>
          <w:sz w:val="32"/>
          <w:szCs w:val="32"/>
          <w:lang w:val="en-US" w:eastAsia="en-US" w:bidi="ar-SA"/>
        </w:rPr>
      </w:pPr>
      <w:r>
        <w:rPr>
          <w:rFonts w:hint="eastAsia" w:ascii="仿宋_GB2312" w:hAnsi="仿宋_GB2312" w:eastAsia="仿宋_GB2312" w:cs="仿宋_GB2312"/>
          <w:snapToGrid w:val="0"/>
          <w:color w:val="auto"/>
          <w:spacing w:val="9"/>
          <w:kern w:val="0"/>
          <w:sz w:val="32"/>
          <w:szCs w:val="32"/>
          <w:lang w:val="en-US" w:eastAsia="zh-CN" w:bidi="ar-SA"/>
        </w:rPr>
        <w:t>（2）立项程序规范性</w:t>
      </w:r>
      <w:r>
        <w:rPr>
          <w:rFonts w:hint="eastAsia" w:ascii="仿宋_GB2312" w:hAnsi="仿宋_GB2312" w:eastAsia="仿宋_GB2312" w:cs="仿宋_GB2312"/>
          <w:snapToGrid w:val="0"/>
          <w:color w:val="auto"/>
          <w:spacing w:val="9"/>
          <w:kern w:val="0"/>
          <w:sz w:val="32"/>
          <w:szCs w:val="32"/>
          <w:lang w:val="en-US" w:eastAsia="en-US" w:bidi="ar-SA"/>
        </w:rPr>
        <w:t>（指标分值2分，得分</w:t>
      </w:r>
      <w:r>
        <w:rPr>
          <w:rFonts w:hint="eastAsia" w:ascii="仿宋_GB2312" w:hAnsi="仿宋_GB2312" w:eastAsia="仿宋_GB2312" w:cs="仿宋_GB2312"/>
          <w:snapToGrid w:val="0"/>
          <w:color w:val="auto"/>
          <w:spacing w:val="9"/>
          <w:kern w:val="0"/>
          <w:sz w:val="32"/>
          <w:szCs w:val="32"/>
          <w:lang w:val="en-US" w:eastAsia="zh-CN" w:bidi="ar-SA"/>
        </w:rPr>
        <w:t>2</w:t>
      </w:r>
      <w:r>
        <w:rPr>
          <w:rFonts w:hint="eastAsia" w:ascii="仿宋_GB2312" w:hAnsi="仿宋_GB2312" w:eastAsia="仿宋_GB2312" w:cs="仿宋_GB2312"/>
          <w:snapToGrid w:val="0"/>
          <w:color w:val="auto"/>
          <w:spacing w:val="9"/>
          <w:kern w:val="0"/>
          <w:sz w:val="32"/>
          <w:szCs w:val="32"/>
          <w:lang w:val="en-US" w:eastAsia="en-US" w:bidi="ar-SA"/>
        </w:rPr>
        <w:t>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指标说明：项目申请、设立过程是否符合相关要求，用以反映和考核项目立项的规范情况。</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评分标准：①项目是否按照规定的程序申请设立；②审批文件、材料是否符合相关要求；③事前是否已经过必要的可行性研究、专家论证、风险评估、绩效评估、集体决策。以上要求全部符合得2分，否则不得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snapToGrid w:val="0"/>
          <w:color w:val="auto"/>
          <w:spacing w:val="9"/>
          <w:kern w:val="0"/>
          <w:sz w:val="32"/>
          <w:szCs w:val="32"/>
          <w:lang w:val="en-US" w:eastAsia="en-US" w:bidi="ar-SA"/>
        </w:rPr>
      </w:pPr>
      <w:r>
        <w:rPr>
          <w:rFonts w:hint="eastAsia" w:ascii="仿宋_GB2312" w:hAnsi="仿宋_GB2312" w:eastAsia="仿宋_GB2312" w:cs="仿宋_GB2312"/>
          <w:snapToGrid w:val="0"/>
          <w:color w:val="auto"/>
          <w:spacing w:val="9"/>
          <w:kern w:val="0"/>
          <w:sz w:val="32"/>
          <w:szCs w:val="32"/>
          <w:lang w:val="en-US" w:eastAsia="zh-CN" w:bidi="ar-SA"/>
        </w:rPr>
        <w:t>评价情况：该项目根据《海南省财政厅关于批复2024年省级部门预算的通知》(琼财支审〔2024〕44号) 等文件要求，项目按照规定的程序申请设立；审批文件、材料符合相关要求；事前已经过必要的可行性研究、绩效评估、集体决策</w:t>
      </w:r>
      <w:r>
        <w:rPr>
          <w:rFonts w:hint="eastAsia" w:ascii="仿宋_GB2312" w:hAnsi="仿宋_GB2312" w:eastAsia="仿宋_GB2312" w:cs="仿宋_GB2312"/>
          <w:snapToGrid w:val="0"/>
          <w:color w:val="auto"/>
          <w:spacing w:val="9"/>
          <w:kern w:val="0"/>
          <w:sz w:val="32"/>
          <w:szCs w:val="32"/>
          <w:lang w:val="en-US" w:eastAsia="en-US" w:bidi="ar-SA"/>
        </w:rPr>
        <w:t>。</w:t>
      </w:r>
    </w:p>
    <w:p>
      <w:pPr>
        <w:pStyle w:val="8"/>
        <w:keepNext w:val="0"/>
        <w:keepLines w:val="0"/>
        <w:pageBreakBefore w:val="0"/>
        <w:widowControl/>
        <w:kinsoku/>
        <w:wordWrap/>
        <w:overflowPunct/>
        <w:topLinePunct w:val="0"/>
        <w:autoSpaceDE/>
        <w:autoSpaceDN/>
        <w:bidi w:val="0"/>
        <w:adjustRightInd/>
        <w:snapToGrid/>
        <w:spacing w:line="590" w:lineRule="exact"/>
        <w:ind w:firstLine="676" w:firstLineChars="200"/>
        <w:jc w:val="both"/>
        <w:textAlignment w:val="auto"/>
        <w:rPr>
          <w:rFonts w:hint="eastAsia" w:ascii="仿宋_GB2312" w:hAnsi="仿宋_GB2312" w:eastAsia="仿宋_GB2312" w:cs="仿宋_GB2312"/>
          <w:snapToGrid w:val="0"/>
          <w:color w:val="auto"/>
          <w:spacing w:val="9"/>
          <w:kern w:val="0"/>
          <w:sz w:val="32"/>
          <w:szCs w:val="32"/>
          <w:lang w:val="en-US" w:eastAsia="en-US" w:bidi="ar-SA"/>
        </w:rPr>
      </w:pPr>
      <w:r>
        <w:rPr>
          <w:rFonts w:hint="eastAsia" w:ascii="仿宋_GB2312" w:hAnsi="仿宋_GB2312" w:eastAsia="仿宋_GB2312" w:cs="仿宋_GB2312"/>
          <w:snapToGrid w:val="0"/>
          <w:color w:val="auto"/>
          <w:spacing w:val="9"/>
          <w:kern w:val="0"/>
          <w:sz w:val="32"/>
          <w:szCs w:val="32"/>
          <w:lang w:val="en-US" w:eastAsia="en-US" w:bidi="ar-SA"/>
        </w:rPr>
        <w:t>综合上述分析，</w:t>
      </w:r>
      <w:r>
        <w:rPr>
          <w:rFonts w:hint="eastAsia" w:ascii="仿宋_GB2312" w:hAnsi="仿宋_GB2312" w:eastAsia="仿宋_GB2312" w:cs="仿宋_GB2312"/>
          <w:color w:val="auto"/>
          <w:kern w:val="0"/>
          <w:sz w:val="32"/>
          <w:szCs w:val="32"/>
        </w:rPr>
        <w:t>根据评分标准，该指标得分2分</w:t>
      </w:r>
      <w:r>
        <w:rPr>
          <w:rFonts w:hint="eastAsia" w:ascii="仿宋_GB2312" w:hAnsi="仿宋_GB2312" w:eastAsia="仿宋_GB2312" w:cs="仿宋_GB2312"/>
          <w:snapToGrid w:val="0"/>
          <w:color w:val="auto"/>
          <w:spacing w:val="9"/>
          <w:kern w:val="0"/>
          <w:sz w:val="32"/>
          <w:szCs w:val="32"/>
          <w:lang w:val="en-US" w:eastAsia="en-US" w:bidi="ar-SA"/>
        </w:rPr>
        <w:t>。</w:t>
      </w:r>
    </w:p>
    <w:p>
      <w:pPr>
        <w:spacing w:before="210" w:line="222" w:lineRule="auto"/>
        <w:ind w:left="659"/>
        <w:rPr>
          <w:rFonts w:hint="eastAsia" w:ascii="仿宋_GB2312" w:hAnsi="仿宋_GB2312" w:eastAsia="仿宋_GB2312" w:cs="仿宋_GB2312"/>
          <w:color w:val="auto"/>
          <w:spacing w:val="35"/>
          <w:sz w:val="32"/>
          <w:szCs w:val="32"/>
        </w:rPr>
      </w:pPr>
      <w:r>
        <w:rPr>
          <w:rFonts w:hint="eastAsia" w:ascii="仿宋_GB2312" w:hAnsi="仿宋_GB2312" w:eastAsia="仿宋_GB2312" w:cs="仿宋_GB2312"/>
          <w:color w:val="auto"/>
          <w:spacing w:val="35"/>
          <w:sz w:val="32"/>
          <w:szCs w:val="32"/>
        </w:rPr>
        <w:t>2</w:t>
      </w:r>
      <w:r>
        <w:rPr>
          <w:rFonts w:hint="eastAsia" w:ascii="仿宋_GB2312" w:hAnsi="仿宋_GB2312" w:eastAsia="仿宋_GB2312" w:cs="仿宋_GB2312"/>
          <w:color w:val="auto"/>
          <w:spacing w:val="35"/>
          <w:sz w:val="32"/>
          <w:szCs w:val="32"/>
          <w:lang w:val="en-US" w:eastAsia="zh-CN"/>
        </w:rPr>
        <w:t>.</w:t>
      </w:r>
      <w:r>
        <w:rPr>
          <w:rFonts w:hint="eastAsia" w:ascii="仿宋_GB2312" w:hAnsi="仿宋_GB2312" w:eastAsia="仿宋_GB2312" w:cs="仿宋_GB2312"/>
          <w:color w:val="auto"/>
          <w:spacing w:val="35"/>
          <w:sz w:val="32"/>
          <w:szCs w:val="32"/>
        </w:rPr>
        <w:t>绩效目标情况分析(满</w:t>
      </w:r>
      <w:r>
        <w:rPr>
          <w:rFonts w:hint="eastAsia" w:ascii="仿宋_GB2312" w:hAnsi="仿宋_GB2312" w:eastAsia="仿宋_GB2312" w:cs="仿宋_GB2312"/>
          <w:color w:val="auto"/>
          <w:spacing w:val="35"/>
          <w:sz w:val="32"/>
          <w:szCs w:val="32"/>
          <w:lang w:val="en-US" w:eastAsia="zh-CN"/>
        </w:rPr>
        <w:t>4</w:t>
      </w:r>
      <w:r>
        <w:rPr>
          <w:rFonts w:hint="eastAsia" w:ascii="仿宋_GB2312" w:hAnsi="仿宋_GB2312" w:eastAsia="仿宋_GB2312" w:cs="仿宋_GB2312"/>
          <w:color w:val="auto"/>
          <w:spacing w:val="35"/>
          <w:sz w:val="32"/>
          <w:szCs w:val="32"/>
        </w:rPr>
        <w:t>分，得</w:t>
      </w:r>
      <w:r>
        <w:rPr>
          <w:rFonts w:hint="eastAsia" w:ascii="仿宋_GB2312" w:hAnsi="仿宋_GB2312" w:eastAsia="仿宋_GB2312" w:cs="仿宋_GB2312"/>
          <w:color w:val="auto"/>
          <w:spacing w:val="35"/>
          <w:sz w:val="32"/>
          <w:szCs w:val="32"/>
          <w:lang w:val="en-US" w:eastAsia="zh-CN"/>
        </w:rPr>
        <w:t>3</w:t>
      </w:r>
      <w:r>
        <w:rPr>
          <w:rFonts w:hint="eastAsia" w:ascii="仿宋_GB2312" w:hAnsi="仿宋_GB2312" w:eastAsia="仿宋_GB2312" w:cs="仿宋_GB2312"/>
          <w:color w:val="auto"/>
          <w:spacing w:val="35"/>
          <w:sz w:val="32"/>
          <w:szCs w:val="32"/>
        </w:rPr>
        <w:t>分)</w:t>
      </w: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firstLine="676" w:firstLineChars="200"/>
        <w:textAlignment w:val="auto"/>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（1）绩效目标合理性（指标分值2分，得分2分）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指标说明：项目所设定的绩效目标是否依据充分，是否符合客观实际，用以反映和考核项目绩效目标与项目实施的相符情况。</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评分标准：①项目是否有绩效目标；②项目绩效目标与实际工作内容是否具有相关性；③项目预期产出效益和效果是否符合正常的业绩水平；④是否与预算确定的项目投资额或资金量相匹配。以上要求全部符合得2分，否则不得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评价情况：该项目设立了明确的绩效目标；严格按照海南省财政厅关于预算考核工作的相关文件要求申报了项目绩效目标，项目绩效目标与实际工作内容一致；项目预期产出效益和效果符合正常的业绩水平；设定的绩效目标与项目资金量相匹配。</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综合上述分析，</w:t>
      </w:r>
      <w:r>
        <w:rPr>
          <w:rFonts w:hint="eastAsia" w:ascii="仿宋_GB2312" w:hAnsi="仿宋_GB2312" w:eastAsia="仿宋_GB2312" w:cs="仿宋_GB2312"/>
          <w:color w:val="auto"/>
          <w:kern w:val="0"/>
          <w:sz w:val="32"/>
          <w:szCs w:val="32"/>
        </w:rPr>
        <w:t>根据评分标准，该指标得分2分</w:t>
      </w:r>
      <w:r>
        <w:rPr>
          <w:rFonts w:hint="eastAsia" w:ascii="仿宋_GB2312" w:hAnsi="仿宋_GB2312" w:eastAsia="仿宋_GB2312" w:cs="仿宋_GB2312"/>
          <w:snapToGrid w:val="0"/>
          <w:color w:val="auto"/>
          <w:spacing w:val="9"/>
          <w:kern w:val="0"/>
          <w:sz w:val="32"/>
          <w:szCs w:val="32"/>
          <w:lang w:val="en-US" w:eastAsia="zh-CN" w:bidi="ar-SA"/>
        </w:rPr>
        <w:t>。</w:t>
      </w: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firstLine="67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napToGrid w:val="0"/>
          <w:color w:val="auto"/>
          <w:spacing w:val="9"/>
          <w:kern w:val="0"/>
          <w:sz w:val="32"/>
          <w:szCs w:val="32"/>
          <w:lang w:val="en-US" w:eastAsia="zh-CN" w:bidi="ar-SA"/>
        </w:rPr>
        <w:t>（2）绩效目标明确性（指标分值2分，得分1分）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指标说明：依据绩效目标设定的绩效指标是否清晰、细化、可衡量等，用以反映和考核项目绩效目标的明细化情况。</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评分标准：①是否将项目绩效目标细化分解为具体的绩效指标（1分）；②是否通过清晰、可衡量的指标值予以体现（0.5分）；③是否与项目目标任务数或计划数相对应（0.5分）。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color w:val="auto"/>
          <w:spacing w:val="9"/>
          <w:sz w:val="32"/>
          <w:szCs w:val="32"/>
          <w:lang w:val="en-US" w:eastAsia="zh-CN"/>
        </w:rPr>
        <w:t>评价情况：该</w:t>
      </w:r>
      <w:r>
        <w:rPr>
          <w:rFonts w:hint="eastAsia" w:ascii="仿宋_GB2312" w:hAnsi="仿宋_GB2312" w:eastAsia="仿宋_GB2312" w:cs="仿宋_GB2312"/>
          <w:color w:val="auto"/>
          <w:spacing w:val="9"/>
          <w:sz w:val="32"/>
          <w:szCs w:val="32"/>
        </w:rPr>
        <w:t>项目申报时已将项目绩效目标分</w:t>
      </w:r>
      <w:r>
        <w:rPr>
          <w:rFonts w:hint="eastAsia" w:ascii="仿宋_GB2312" w:hAnsi="仿宋_GB2312" w:eastAsia="仿宋_GB2312" w:cs="仿宋_GB2312"/>
          <w:color w:val="auto"/>
          <w:spacing w:val="10"/>
          <w:sz w:val="32"/>
          <w:szCs w:val="32"/>
        </w:rPr>
        <w:t>解为具体的绩效指标</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但部分指标</w:t>
      </w:r>
      <w:r>
        <w:rPr>
          <w:rFonts w:hint="eastAsia" w:ascii="仿宋_GB2312" w:hAnsi="仿宋_GB2312" w:eastAsia="仿宋_GB2312" w:cs="仿宋_GB2312"/>
          <w:color w:val="auto"/>
          <w:spacing w:val="13"/>
          <w:sz w:val="32"/>
          <w:szCs w:val="32"/>
        </w:rPr>
        <w:t>还需要进一步细化、明晰</w:t>
      </w:r>
      <w:r>
        <w:rPr>
          <w:rFonts w:hint="eastAsia" w:ascii="仿宋_GB2312" w:hAnsi="仿宋_GB2312" w:eastAsia="仿宋_GB2312" w:cs="仿宋_GB2312"/>
          <w:color w:val="auto"/>
          <w:spacing w:val="13"/>
          <w:sz w:val="32"/>
          <w:szCs w:val="32"/>
          <w:lang w:eastAsia="zh-CN"/>
        </w:rPr>
        <w:t>，</w:t>
      </w:r>
      <w:r>
        <w:rPr>
          <w:rFonts w:hint="eastAsia" w:ascii="仿宋_GB2312" w:hAnsi="仿宋_GB2312" w:eastAsia="仿宋_GB2312" w:cs="仿宋_GB2312"/>
          <w:snapToGrid w:val="0"/>
          <w:color w:val="auto"/>
          <w:spacing w:val="9"/>
          <w:kern w:val="0"/>
          <w:sz w:val="32"/>
          <w:szCs w:val="32"/>
          <w:lang w:val="en-US" w:eastAsia="zh-CN" w:bidi="ar-SA"/>
        </w:rPr>
        <w:t>本项扣1分</w:t>
      </w:r>
      <w:r>
        <w:rPr>
          <w:rFonts w:hint="eastAsia" w:ascii="仿宋_GB2312" w:hAnsi="仿宋_GB2312" w:eastAsia="仿宋_GB2312" w:cs="仿宋_GB2312"/>
          <w:color w:val="auto"/>
          <w:spacing w:val="10"/>
          <w:sz w:val="32"/>
          <w:szCs w:val="32"/>
        </w:rPr>
        <w:t>；通过比较清晰、可衡量的指标值予以</w:t>
      </w:r>
      <w:r>
        <w:rPr>
          <w:rFonts w:hint="eastAsia" w:ascii="仿宋_GB2312" w:hAnsi="仿宋_GB2312" w:eastAsia="仿宋_GB2312" w:cs="仿宋_GB2312"/>
          <w:color w:val="auto"/>
          <w:spacing w:val="11"/>
          <w:sz w:val="32"/>
          <w:szCs w:val="32"/>
        </w:rPr>
        <w:t>体现；</w:t>
      </w:r>
      <w:r>
        <w:rPr>
          <w:rFonts w:hint="eastAsia" w:ascii="仿宋_GB2312" w:hAnsi="仿宋_GB2312" w:eastAsia="仿宋_GB2312" w:cs="仿宋_GB2312"/>
          <w:color w:val="auto"/>
          <w:spacing w:val="11"/>
          <w:sz w:val="32"/>
          <w:szCs w:val="32"/>
          <w:lang w:val="en-US" w:eastAsia="zh-CN"/>
        </w:rPr>
        <w:t>能够</w:t>
      </w:r>
      <w:r>
        <w:rPr>
          <w:rFonts w:hint="eastAsia" w:ascii="仿宋_GB2312" w:hAnsi="仿宋_GB2312" w:eastAsia="仿宋_GB2312" w:cs="仿宋_GB2312"/>
          <w:color w:val="auto"/>
          <w:spacing w:val="11"/>
          <w:sz w:val="32"/>
          <w:szCs w:val="32"/>
        </w:rPr>
        <w:t>与项目目标任务数或计划数相对应</w:t>
      </w:r>
      <w:r>
        <w:rPr>
          <w:rFonts w:hint="eastAsia" w:ascii="仿宋_GB2312" w:hAnsi="仿宋_GB2312" w:eastAsia="仿宋_GB2312" w:cs="仿宋_GB2312"/>
          <w:snapToGrid w:val="0"/>
          <w:color w:val="auto"/>
          <w:spacing w:val="9"/>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综合上述分析，</w:t>
      </w:r>
      <w:r>
        <w:rPr>
          <w:rFonts w:hint="eastAsia" w:ascii="仿宋_GB2312" w:hAnsi="仿宋_GB2312" w:eastAsia="仿宋_GB2312" w:cs="仿宋_GB2312"/>
          <w:color w:val="auto"/>
          <w:kern w:val="0"/>
          <w:sz w:val="32"/>
          <w:szCs w:val="32"/>
        </w:rPr>
        <w:t>根据评分标准，该指标得分</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分</w:t>
      </w:r>
      <w:r>
        <w:rPr>
          <w:rFonts w:hint="eastAsia" w:ascii="仿宋_GB2312" w:hAnsi="仿宋_GB2312" w:eastAsia="仿宋_GB2312" w:cs="仿宋_GB2312"/>
          <w:snapToGrid w:val="0"/>
          <w:color w:val="auto"/>
          <w:spacing w:val="9"/>
          <w:kern w:val="0"/>
          <w:sz w:val="32"/>
          <w:szCs w:val="32"/>
          <w:lang w:val="en-US" w:eastAsia="zh-CN" w:bidi="ar-SA"/>
        </w:rPr>
        <w:t>。</w:t>
      </w:r>
    </w:p>
    <w:p>
      <w:pPr>
        <w:spacing w:before="210" w:line="222" w:lineRule="auto"/>
        <w:ind w:left="659"/>
        <w:rPr>
          <w:rFonts w:hint="eastAsia" w:ascii="仿宋_GB2312" w:hAnsi="仿宋_GB2312" w:eastAsia="仿宋_GB2312" w:cs="仿宋_GB2312"/>
          <w:color w:val="auto"/>
          <w:spacing w:val="35"/>
          <w:sz w:val="32"/>
          <w:szCs w:val="32"/>
        </w:rPr>
      </w:pPr>
      <w:r>
        <w:rPr>
          <w:rFonts w:hint="eastAsia" w:ascii="仿宋_GB2312" w:hAnsi="仿宋_GB2312" w:eastAsia="仿宋_GB2312" w:cs="仿宋_GB2312"/>
          <w:color w:val="auto"/>
          <w:spacing w:val="35"/>
          <w:sz w:val="32"/>
          <w:szCs w:val="32"/>
        </w:rPr>
        <w:t>3、资金投入情况分析(满分</w:t>
      </w:r>
      <w:r>
        <w:rPr>
          <w:rFonts w:hint="eastAsia" w:ascii="仿宋_GB2312" w:hAnsi="仿宋_GB2312" w:eastAsia="仿宋_GB2312" w:cs="仿宋_GB2312"/>
          <w:color w:val="auto"/>
          <w:spacing w:val="35"/>
          <w:sz w:val="32"/>
          <w:szCs w:val="32"/>
          <w:lang w:val="en-US" w:eastAsia="zh-CN"/>
        </w:rPr>
        <w:t>4</w:t>
      </w:r>
      <w:r>
        <w:rPr>
          <w:rFonts w:hint="eastAsia" w:ascii="仿宋_GB2312" w:hAnsi="仿宋_GB2312" w:eastAsia="仿宋_GB2312" w:cs="仿宋_GB2312"/>
          <w:color w:val="auto"/>
          <w:spacing w:val="35"/>
          <w:sz w:val="32"/>
          <w:szCs w:val="32"/>
        </w:rPr>
        <w:t>分，得</w:t>
      </w:r>
      <w:r>
        <w:rPr>
          <w:rFonts w:hint="eastAsia" w:ascii="仿宋_GB2312" w:hAnsi="仿宋_GB2312" w:eastAsia="仿宋_GB2312" w:cs="仿宋_GB2312"/>
          <w:color w:val="auto"/>
          <w:spacing w:val="35"/>
          <w:sz w:val="32"/>
          <w:szCs w:val="32"/>
          <w:lang w:val="en-US" w:eastAsia="zh-CN"/>
        </w:rPr>
        <w:t>4</w:t>
      </w:r>
      <w:r>
        <w:rPr>
          <w:rFonts w:hint="eastAsia" w:ascii="仿宋_GB2312" w:hAnsi="仿宋_GB2312" w:eastAsia="仿宋_GB2312" w:cs="仿宋_GB2312"/>
          <w:color w:val="auto"/>
          <w:spacing w:val="35"/>
          <w:sz w:val="32"/>
          <w:szCs w:val="32"/>
        </w:rPr>
        <w:t>分)</w:t>
      </w: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firstLine="66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6"/>
          <w:sz w:val="32"/>
          <w:szCs w:val="32"/>
          <w:lang w:val="en-US" w:eastAsia="zh-CN"/>
        </w:rPr>
        <w:t>（1）预算编制科学性</w:t>
      </w:r>
      <w:r>
        <w:rPr>
          <w:rFonts w:hint="eastAsia" w:ascii="仿宋_GB2312" w:hAnsi="仿宋_GB2312" w:eastAsia="仿宋_GB2312" w:cs="仿宋_GB2312"/>
          <w:color w:val="auto"/>
          <w:sz w:val="32"/>
          <w:szCs w:val="32"/>
          <w:highlight w:val="none"/>
        </w:rPr>
        <w:t>（指标分值</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分，得分</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指标说明：项目预算编制是否经过科学论证、有明确标准，资金额度与年度目标是否相适应，用以反映和考核项目预算编制的科学性、合理性情况。</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评分标准：①预算编制是否经过科学论证（0.5分）；②预算内容与项目内容是否匹配（0.5分）；③预算额度测算依据是否充分，是否按照标准编制（0.5分）；④预算确定的项目投资额或资金量是否与工作任务相匹配（0.5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rPr>
      </w:pPr>
      <w:r>
        <w:rPr>
          <w:rFonts w:hint="eastAsia" w:ascii="仿宋_GB2312" w:hAnsi="仿宋_GB2312" w:eastAsia="仿宋_GB2312" w:cs="仿宋_GB2312"/>
          <w:color w:val="auto"/>
          <w:spacing w:val="9"/>
          <w:sz w:val="32"/>
          <w:szCs w:val="32"/>
          <w:lang w:val="en-US" w:eastAsia="zh-CN"/>
        </w:rPr>
        <w:t>评价情况：</w:t>
      </w:r>
      <w:r>
        <w:rPr>
          <w:rFonts w:hint="eastAsia" w:ascii="仿宋_GB2312" w:hAnsi="仿宋_GB2312" w:eastAsia="仿宋_GB2312" w:cs="仿宋_GB2312"/>
          <w:color w:val="auto"/>
          <w:spacing w:val="9"/>
          <w:sz w:val="32"/>
          <w:szCs w:val="32"/>
        </w:rPr>
        <w:t>该项目预算编制经过科学</w:t>
      </w:r>
      <w:r>
        <w:rPr>
          <w:rFonts w:hint="eastAsia" w:ascii="仿宋_GB2312" w:hAnsi="仿宋_GB2312" w:eastAsia="仿宋_GB2312" w:cs="仿宋_GB2312"/>
          <w:color w:val="auto"/>
          <w:spacing w:val="8"/>
          <w:sz w:val="32"/>
          <w:szCs w:val="32"/>
        </w:rPr>
        <w:t>论证；预</w:t>
      </w:r>
      <w:r>
        <w:rPr>
          <w:rFonts w:hint="eastAsia" w:ascii="仿宋_GB2312" w:hAnsi="仿宋_GB2312" w:eastAsia="仿宋_GB2312" w:cs="仿宋_GB2312"/>
          <w:color w:val="auto"/>
          <w:spacing w:val="9"/>
          <w:sz w:val="32"/>
          <w:szCs w:val="32"/>
        </w:rPr>
        <w:t>算内容与项目内容</w:t>
      </w:r>
      <w:r>
        <w:rPr>
          <w:rFonts w:hint="eastAsia" w:ascii="仿宋_GB2312" w:hAnsi="仿宋_GB2312" w:eastAsia="仿宋_GB2312" w:cs="仿宋_GB2312"/>
          <w:color w:val="auto"/>
          <w:spacing w:val="9"/>
          <w:sz w:val="32"/>
          <w:szCs w:val="32"/>
          <w:lang w:val="en-US" w:eastAsia="zh-CN"/>
        </w:rPr>
        <w:t>较</w:t>
      </w:r>
      <w:r>
        <w:rPr>
          <w:rFonts w:hint="eastAsia" w:ascii="仿宋_GB2312" w:hAnsi="仿宋_GB2312" w:eastAsia="仿宋_GB2312" w:cs="仿宋_GB2312"/>
          <w:color w:val="auto"/>
          <w:spacing w:val="9"/>
          <w:sz w:val="32"/>
          <w:szCs w:val="32"/>
        </w:rPr>
        <w:t>匹配；预算额度测算依据比较充分，</w:t>
      </w:r>
      <w:r>
        <w:rPr>
          <w:rFonts w:hint="eastAsia" w:ascii="仿宋_GB2312" w:hAnsi="仿宋_GB2312" w:eastAsia="仿宋_GB2312" w:cs="仿宋_GB2312"/>
          <w:color w:val="auto"/>
          <w:spacing w:val="9"/>
          <w:sz w:val="32"/>
          <w:szCs w:val="32"/>
          <w:lang w:val="en-US" w:eastAsia="zh-CN"/>
        </w:rPr>
        <w:t>能够</w:t>
      </w:r>
      <w:r>
        <w:rPr>
          <w:rFonts w:hint="eastAsia" w:ascii="仿宋_GB2312" w:hAnsi="仿宋_GB2312" w:eastAsia="仿宋_GB2312" w:cs="仿宋_GB2312"/>
          <w:color w:val="auto"/>
          <w:spacing w:val="9"/>
          <w:sz w:val="32"/>
          <w:szCs w:val="32"/>
        </w:rPr>
        <w:t>按照计划编制；预算确定的项目资金量与工作任务基本匹配。</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rPr>
      </w:pPr>
      <w:r>
        <w:rPr>
          <w:rFonts w:hint="eastAsia" w:ascii="仿宋_GB2312" w:hAnsi="仿宋_GB2312" w:eastAsia="仿宋_GB2312" w:cs="仿宋_GB2312"/>
          <w:color w:val="auto"/>
          <w:spacing w:val="9"/>
          <w:sz w:val="32"/>
          <w:szCs w:val="32"/>
        </w:rPr>
        <w:t>综合上述分析，</w:t>
      </w:r>
      <w:r>
        <w:rPr>
          <w:rFonts w:hint="eastAsia" w:ascii="仿宋_GB2312" w:hAnsi="仿宋_GB2312" w:eastAsia="仿宋_GB2312" w:cs="仿宋_GB2312"/>
          <w:color w:val="auto"/>
          <w:kern w:val="0"/>
          <w:sz w:val="32"/>
          <w:szCs w:val="32"/>
        </w:rPr>
        <w:t>根据评分标准，该指标得分</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分</w:t>
      </w:r>
      <w:r>
        <w:rPr>
          <w:rFonts w:hint="eastAsia" w:ascii="仿宋_GB2312" w:hAnsi="仿宋_GB2312" w:eastAsia="仿宋_GB2312" w:cs="仿宋_GB2312"/>
          <w:color w:val="auto"/>
          <w:spacing w:val="9"/>
          <w:sz w:val="32"/>
          <w:szCs w:val="32"/>
        </w:rPr>
        <w:t>。</w:t>
      </w: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firstLine="66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6"/>
          <w:sz w:val="32"/>
          <w:szCs w:val="32"/>
          <w:lang w:val="en-US" w:eastAsia="zh-CN"/>
        </w:rPr>
        <w:t>（2）资金分配合理性</w:t>
      </w:r>
      <w:r>
        <w:rPr>
          <w:rFonts w:hint="eastAsia" w:ascii="仿宋_GB2312" w:hAnsi="仿宋_GB2312" w:eastAsia="仿宋_GB2312" w:cs="仿宋_GB2312"/>
          <w:color w:val="auto"/>
          <w:sz w:val="32"/>
          <w:szCs w:val="32"/>
          <w:highlight w:val="none"/>
        </w:rPr>
        <w:t>（指标分值</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分，得分</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指标说明：项目预算资金分配是否有测算依据，与补助单位或地方实际是否相适应，用以反映和考核项目预算资金分配的科学性、合理性情况。</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评分标准：①预算资金分配依据是否充分（1分）；②资金分配额度是否合理，与项目单位或地方实际是否相适应（1分）。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评价情况：该项目预算资金测算较准确，依据充分；资金分配安排合理，能够满足当年实际资金需求。</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综合上述分析，</w:t>
      </w:r>
      <w:r>
        <w:rPr>
          <w:rFonts w:hint="eastAsia" w:ascii="仿宋_GB2312" w:hAnsi="仿宋_GB2312" w:eastAsia="仿宋_GB2312" w:cs="仿宋_GB2312"/>
          <w:color w:val="auto"/>
          <w:kern w:val="0"/>
          <w:sz w:val="32"/>
          <w:szCs w:val="32"/>
        </w:rPr>
        <w:t>根据评分标准，该指标得分</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分</w:t>
      </w:r>
      <w:r>
        <w:rPr>
          <w:rFonts w:hint="eastAsia" w:ascii="仿宋_GB2312" w:hAnsi="仿宋_GB2312" w:eastAsia="仿宋_GB2312" w:cs="仿宋_GB2312"/>
          <w:color w:val="auto"/>
          <w:spacing w:val="9"/>
          <w:sz w:val="32"/>
          <w:szCs w:val="32"/>
          <w:lang w:val="en-US" w:eastAsia="zh-CN"/>
        </w:rPr>
        <w:t>。</w:t>
      </w:r>
    </w:p>
    <w:p>
      <w:pPr>
        <w:spacing w:before="205" w:line="224" w:lineRule="auto"/>
        <w:ind w:left="804"/>
        <w:outlineLvl w:val="2"/>
        <w:rPr>
          <w:rFonts w:ascii="楷体" w:hAnsi="楷体" w:eastAsia="楷体" w:cs="楷体"/>
          <w:b/>
          <w:bCs/>
          <w:color w:val="auto"/>
          <w:spacing w:val="27"/>
          <w:sz w:val="31"/>
          <w:szCs w:val="31"/>
        </w:rPr>
      </w:pPr>
      <w:r>
        <w:rPr>
          <w:rFonts w:ascii="楷体" w:hAnsi="楷体" w:eastAsia="楷体" w:cs="楷体"/>
          <w:b/>
          <w:bCs/>
          <w:color w:val="auto"/>
          <w:spacing w:val="27"/>
          <w:sz w:val="31"/>
          <w:szCs w:val="31"/>
        </w:rPr>
        <w:t>(二)项目过程情况</w:t>
      </w:r>
    </w:p>
    <w:p>
      <w:pPr>
        <w:spacing w:before="210" w:line="222" w:lineRule="auto"/>
        <w:ind w:left="659"/>
        <w:rPr>
          <w:rFonts w:hint="eastAsia" w:ascii="仿宋_GB2312" w:hAnsi="仿宋_GB2312" w:eastAsia="仿宋_GB2312" w:cs="仿宋_GB2312"/>
          <w:color w:val="auto"/>
          <w:spacing w:val="35"/>
          <w:sz w:val="32"/>
          <w:szCs w:val="32"/>
        </w:rPr>
      </w:pPr>
      <w:r>
        <w:rPr>
          <w:rFonts w:hint="eastAsia" w:ascii="仿宋_GB2312" w:hAnsi="仿宋_GB2312" w:eastAsia="仿宋_GB2312" w:cs="仿宋_GB2312"/>
          <w:color w:val="auto"/>
          <w:spacing w:val="35"/>
          <w:sz w:val="32"/>
          <w:szCs w:val="32"/>
        </w:rPr>
        <w:t>1</w:t>
      </w:r>
      <w:r>
        <w:rPr>
          <w:rFonts w:hint="eastAsia" w:ascii="仿宋_GB2312" w:hAnsi="仿宋_GB2312" w:eastAsia="仿宋_GB2312" w:cs="仿宋_GB2312"/>
          <w:color w:val="auto"/>
          <w:spacing w:val="35"/>
          <w:sz w:val="32"/>
          <w:szCs w:val="32"/>
          <w:lang w:val="en-US" w:eastAsia="zh-CN"/>
        </w:rPr>
        <w:t>.</w:t>
      </w:r>
      <w:r>
        <w:rPr>
          <w:rFonts w:hint="eastAsia" w:ascii="仿宋_GB2312" w:hAnsi="仿宋_GB2312" w:eastAsia="仿宋_GB2312" w:cs="仿宋_GB2312"/>
          <w:color w:val="auto"/>
          <w:spacing w:val="35"/>
          <w:sz w:val="32"/>
          <w:szCs w:val="32"/>
        </w:rPr>
        <w:t>资金管理情况分析(满分</w:t>
      </w:r>
      <w:r>
        <w:rPr>
          <w:rFonts w:hint="eastAsia" w:ascii="仿宋_GB2312" w:hAnsi="仿宋_GB2312" w:eastAsia="仿宋_GB2312" w:cs="仿宋_GB2312"/>
          <w:color w:val="auto"/>
          <w:spacing w:val="35"/>
          <w:sz w:val="32"/>
          <w:szCs w:val="32"/>
          <w:lang w:val="en-US" w:eastAsia="zh-CN"/>
        </w:rPr>
        <w:t>18</w:t>
      </w:r>
      <w:r>
        <w:rPr>
          <w:rFonts w:hint="eastAsia" w:ascii="仿宋_GB2312" w:hAnsi="仿宋_GB2312" w:eastAsia="仿宋_GB2312" w:cs="仿宋_GB2312"/>
          <w:color w:val="auto"/>
          <w:spacing w:val="35"/>
          <w:sz w:val="32"/>
          <w:szCs w:val="32"/>
        </w:rPr>
        <w:t>分，得1</w:t>
      </w:r>
      <w:r>
        <w:rPr>
          <w:rFonts w:hint="eastAsia" w:ascii="仿宋_GB2312" w:hAnsi="仿宋_GB2312" w:eastAsia="仿宋_GB2312" w:cs="仿宋_GB2312"/>
          <w:color w:val="auto"/>
          <w:spacing w:val="35"/>
          <w:sz w:val="32"/>
          <w:szCs w:val="32"/>
          <w:lang w:val="en-US" w:eastAsia="zh-CN"/>
        </w:rPr>
        <w:t>8</w:t>
      </w:r>
      <w:r>
        <w:rPr>
          <w:rFonts w:hint="eastAsia" w:ascii="仿宋_GB2312" w:hAnsi="仿宋_GB2312" w:eastAsia="仿宋_GB2312" w:cs="仿宋_GB2312"/>
          <w:color w:val="auto"/>
          <w:spacing w:val="35"/>
          <w:sz w:val="32"/>
          <w:szCs w:val="32"/>
        </w:rPr>
        <w:t>分)</w:t>
      </w: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firstLine="66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6"/>
          <w:sz w:val="32"/>
          <w:szCs w:val="32"/>
          <w:lang w:val="en-US" w:eastAsia="zh-CN"/>
        </w:rPr>
        <w:t>（1)资金到位情况</w:t>
      </w:r>
      <w:r>
        <w:rPr>
          <w:rFonts w:hint="eastAsia" w:ascii="仿宋_GB2312" w:hAnsi="仿宋_GB2312" w:eastAsia="仿宋_GB2312" w:cs="仿宋_GB2312"/>
          <w:color w:val="auto"/>
          <w:sz w:val="32"/>
          <w:szCs w:val="32"/>
          <w:highlight w:val="none"/>
        </w:rPr>
        <w:t>（指标分值</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分，得分</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指标说明：实际到位资金与预算资金的比率，用以反映和考核资金落实情况对项目实施的总体保障程度。</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评分标准：资金到位率=（实际到位资金/预算资金）×100%。全部到位得5分，到位率低于90%得4分，到位率低于70%得3分，到位率低于50%得0分。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评价情况：截止绩效评价基准日，该项目专项资金指标1,365.56万元已全部到位，资金到位率100.00%。</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9"/>
          <w:sz w:val="32"/>
          <w:szCs w:val="32"/>
          <w:lang w:val="en-US" w:eastAsia="zh-CN"/>
        </w:rPr>
        <w:t>综合上述分析，</w:t>
      </w:r>
      <w:r>
        <w:rPr>
          <w:rFonts w:hint="eastAsia" w:ascii="仿宋_GB2312" w:hAnsi="仿宋_GB2312" w:eastAsia="仿宋_GB2312" w:cs="仿宋_GB2312"/>
          <w:color w:val="auto"/>
          <w:kern w:val="0"/>
          <w:sz w:val="32"/>
          <w:szCs w:val="32"/>
        </w:rPr>
        <w:t>根据评分标准，该指标得分</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分</w:t>
      </w:r>
      <w:r>
        <w:rPr>
          <w:rFonts w:hint="eastAsia" w:ascii="仿宋_GB2312" w:hAnsi="仿宋_GB2312" w:eastAsia="仿宋_GB2312" w:cs="仿宋_GB2312"/>
          <w:color w:val="auto"/>
          <w:spacing w:val="9"/>
          <w:sz w:val="32"/>
          <w:szCs w:val="32"/>
          <w:lang w:val="en-US" w:eastAsia="zh-CN"/>
        </w:rPr>
        <w:t>。</w:t>
      </w: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firstLine="664"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（2）预算执行率（指标分值5分，得分5分）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指标说明：项目预算资金是否按照计划执行，用以反映或考核项目预算执行情况。</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评分标准：预算执行率=（预算执行数/预算批复数）×100%。执行率不低于90%得5分，执行率低于80%得4分，到位率低于70%得3分，到位率低于60%得0分。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评价情况：截止绩效评价基准日，该项目实际支出金额为1,360.03万元，资金执行率=（1360.03/1365.56）×100%=99.6%。</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综合上述分析，</w:t>
      </w:r>
      <w:r>
        <w:rPr>
          <w:rFonts w:hint="eastAsia" w:ascii="仿宋_GB2312" w:hAnsi="仿宋_GB2312" w:eastAsia="仿宋_GB2312" w:cs="仿宋_GB2312"/>
          <w:color w:val="auto"/>
          <w:kern w:val="0"/>
          <w:sz w:val="32"/>
          <w:szCs w:val="32"/>
        </w:rPr>
        <w:t>根据评分标准，该指标得分</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分</w:t>
      </w:r>
      <w:r>
        <w:rPr>
          <w:rFonts w:hint="eastAsia" w:ascii="仿宋_GB2312" w:hAnsi="仿宋_GB2312" w:eastAsia="仿宋_GB2312" w:cs="仿宋_GB2312"/>
          <w:color w:val="auto"/>
          <w:spacing w:val="9"/>
          <w:sz w:val="32"/>
          <w:szCs w:val="32"/>
          <w:lang w:val="en-US" w:eastAsia="zh-CN"/>
        </w:rPr>
        <w:t>。</w:t>
      </w: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firstLine="664"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（3）资金使用合规性（指标分值8分，得分8分）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指标说明：项目资金使用是否符合相关的财务管理制度规定，用以反映和考核项目资金的规范运行情况。</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评分标准：①是否符合国家财经法规和财务管理制度以及有关专项资金管理办法的规定（2分）；②资金的拨付是否有完整的审批程序和手续（2分）；③是否符合项目预算批复或合同规定的用途（2分）；④是否存在截留、挤占、挪用、虚列支出等情况（2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评价情况：该项目支出符合国家财经法规和财务管理制度以及有关专项资金管理办法的规定；资金的拨付有完整的审批程序和手续；符合项目预算批复规定的用途；未发现截留、挤占、挪用、虚列、超标准支出等情况。</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76" w:firstLineChars="200"/>
        <w:jc w:val="both"/>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snapToGrid w:val="0"/>
          <w:color w:val="auto"/>
          <w:spacing w:val="9"/>
          <w:kern w:val="0"/>
          <w:sz w:val="32"/>
          <w:szCs w:val="32"/>
          <w:lang w:val="en-US" w:eastAsia="zh-CN" w:bidi="ar-SA"/>
        </w:rPr>
        <w:t>综合上述分析，</w:t>
      </w:r>
      <w:r>
        <w:rPr>
          <w:rFonts w:hint="eastAsia" w:ascii="仿宋_GB2312" w:hAnsi="仿宋_GB2312" w:eastAsia="仿宋_GB2312" w:cs="仿宋_GB2312"/>
          <w:color w:val="auto"/>
          <w:kern w:val="0"/>
          <w:sz w:val="32"/>
          <w:szCs w:val="32"/>
        </w:rPr>
        <w:t>根据评分标准，该指标得分</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分</w:t>
      </w:r>
      <w:r>
        <w:rPr>
          <w:rFonts w:hint="eastAsia" w:ascii="仿宋_GB2312" w:hAnsi="仿宋_GB2312" w:eastAsia="仿宋_GB2312" w:cs="仿宋_GB2312"/>
          <w:snapToGrid w:val="0"/>
          <w:color w:val="auto"/>
          <w:spacing w:val="9"/>
          <w:kern w:val="0"/>
          <w:sz w:val="32"/>
          <w:szCs w:val="32"/>
          <w:lang w:val="en-US" w:eastAsia="zh-CN" w:bidi="ar-SA"/>
        </w:rPr>
        <w:t>。</w:t>
      </w:r>
    </w:p>
    <w:p>
      <w:pPr>
        <w:spacing w:before="210" w:line="222" w:lineRule="auto"/>
        <w:ind w:left="659"/>
        <w:rPr>
          <w:rFonts w:hint="eastAsia" w:ascii="仿宋_GB2312" w:hAnsi="仿宋_GB2312" w:eastAsia="仿宋_GB2312" w:cs="仿宋_GB2312"/>
          <w:color w:val="auto"/>
          <w:spacing w:val="35"/>
          <w:sz w:val="32"/>
          <w:szCs w:val="32"/>
        </w:rPr>
      </w:pPr>
      <w:r>
        <w:rPr>
          <w:rFonts w:hint="eastAsia" w:ascii="仿宋_GB2312" w:hAnsi="仿宋_GB2312" w:eastAsia="仿宋_GB2312" w:cs="仿宋_GB2312"/>
          <w:color w:val="auto"/>
          <w:spacing w:val="35"/>
          <w:sz w:val="32"/>
          <w:szCs w:val="32"/>
        </w:rPr>
        <w:t>2</w:t>
      </w:r>
      <w:r>
        <w:rPr>
          <w:rFonts w:hint="eastAsia" w:ascii="仿宋_GB2312" w:hAnsi="仿宋_GB2312" w:eastAsia="仿宋_GB2312" w:cs="仿宋_GB2312"/>
          <w:color w:val="auto"/>
          <w:spacing w:val="35"/>
          <w:sz w:val="32"/>
          <w:szCs w:val="32"/>
          <w:lang w:val="en-US" w:eastAsia="zh-CN"/>
        </w:rPr>
        <w:t>.</w:t>
      </w:r>
      <w:r>
        <w:rPr>
          <w:rFonts w:hint="eastAsia" w:ascii="仿宋_GB2312" w:hAnsi="仿宋_GB2312" w:eastAsia="仿宋_GB2312" w:cs="仿宋_GB2312"/>
          <w:color w:val="auto"/>
          <w:spacing w:val="35"/>
          <w:sz w:val="32"/>
          <w:szCs w:val="32"/>
        </w:rPr>
        <w:t>组织实施情况分析(满分1</w:t>
      </w:r>
      <w:r>
        <w:rPr>
          <w:rFonts w:hint="eastAsia" w:ascii="仿宋_GB2312" w:hAnsi="仿宋_GB2312" w:eastAsia="仿宋_GB2312" w:cs="仿宋_GB2312"/>
          <w:color w:val="auto"/>
          <w:spacing w:val="35"/>
          <w:sz w:val="32"/>
          <w:szCs w:val="32"/>
          <w:lang w:val="en-US" w:eastAsia="zh-CN"/>
        </w:rPr>
        <w:t>0</w:t>
      </w:r>
      <w:r>
        <w:rPr>
          <w:rFonts w:hint="eastAsia" w:ascii="仿宋_GB2312" w:hAnsi="仿宋_GB2312" w:eastAsia="仿宋_GB2312" w:cs="仿宋_GB2312"/>
          <w:color w:val="auto"/>
          <w:spacing w:val="35"/>
          <w:sz w:val="32"/>
          <w:szCs w:val="32"/>
        </w:rPr>
        <w:t>分，得</w:t>
      </w:r>
      <w:r>
        <w:rPr>
          <w:rFonts w:hint="eastAsia" w:ascii="仿宋_GB2312" w:hAnsi="仿宋_GB2312" w:eastAsia="仿宋_GB2312" w:cs="仿宋_GB2312"/>
          <w:color w:val="auto"/>
          <w:spacing w:val="35"/>
          <w:sz w:val="32"/>
          <w:szCs w:val="32"/>
          <w:lang w:val="en-US" w:eastAsia="zh-CN"/>
        </w:rPr>
        <w:t>10</w:t>
      </w:r>
      <w:r>
        <w:rPr>
          <w:rFonts w:hint="eastAsia" w:ascii="仿宋_GB2312" w:hAnsi="仿宋_GB2312" w:eastAsia="仿宋_GB2312" w:cs="仿宋_GB2312"/>
          <w:color w:val="auto"/>
          <w:spacing w:val="35"/>
          <w:sz w:val="32"/>
          <w:szCs w:val="32"/>
        </w:rPr>
        <w:t>分)</w:t>
      </w: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firstLine="66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6"/>
          <w:sz w:val="32"/>
          <w:szCs w:val="32"/>
          <w:lang w:val="en-US" w:eastAsia="zh-CN"/>
        </w:rPr>
        <w:t>（1）管理制度健全性（指标分值5分，得分5分）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指标说明：项目实施单位的财务和业务管理制度是否健全，用以反映和考核财务和业务管理制度对项目顺利实施的保障情况。</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评分标准：①是否已制定或具有相应的财务和业务管理制度（3分）；②财务和业务管理制度是否合法、合规、完整（2分）。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评价情况：三亚市城郊人民法院本级制定了《三亚市城郊人民法院内部控制规范手册》等内部管理制度，管理制度合法、合规、完整，为项目的实施提供了有效的制度保障。</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综合上述分析，</w:t>
      </w:r>
      <w:r>
        <w:rPr>
          <w:rFonts w:hint="eastAsia" w:ascii="仿宋_GB2312" w:hAnsi="仿宋_GB2312" w:eastAsia="仿宋_GB2312" w:cs="仿宋_GB2312"/>
          <w:color w:val="auto"/>
          <w:kern w:val="0"/>
          <w:sz w:val="32"/>
          <w:szCs w:val="32"/>
        </w:rPr>
        <w:t>根据评分标准，该指标得分</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分</w:t>
      </w:r>
      <w:r>
        <w:rPr>
          <w:rFonts w:hint="eastAsia" w:ascii="仿宋_GB2312" w:hAnsi="仿宋_GB2312" w:eastAsia="仿宋_GB2312" w:cs="仿宋_GB2312"/>
          <w:color w:val="auto"/>
          <w:spacing w:val="9"/>
          <w:sz w:val="32"/>
          <w:szCs w:val="32"/>
          <w:lang w:val="en-US" w:eastAsia="zh-CN"/>
        </w:rPr>
        <w:t>。</w:t>
      </w: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firstLine="66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6"/>
          <w:sz w:val="32"/>
          <w:szCs w:val="32"/>
          <w:lang w:val="en-US" w:eastAsia="zh-CN"/>
        </w:rPr>
        <w:t>（2）制度执行有效性（指标分值5分，得分5分）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指标说明：项目实施是否符合相关管理规定，用以反映和考核相关管理制度的有效执行情况。</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评分标准：①是否遵守相关法律法规和相关管理规定（1分）；②项目调整及支出调整手续是否完备（1分）；③项目合同书、验收报告、技术鉴定等资料是否齐全并及时归档（2分）；④项目实施的人员条件、场地设备、信息支撑等是否落实到位（1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评价情况：三亚市城郊人民法院本级严格按照国家及地方相关法律法规和内控制度有关规定开展采购、验收、付款等业务。每笔资金开支，须经具体实施部门提出申请，领导审签，国库支付中心审核，经过层层严格把关，保证了资金支付安全、合法、合规，有效地加强了项目资金管理。</w:t>
      </w:r>
    </w:p>
    <w:p>
      <w:pPr>
        <w:spacing w:before="186" w:line="311" w:lineRule="auto"/>
        <w:ind w:right="55" w:firstLine="649"/>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z w:val="32"/>
          <w:szCs w:val="32"/>
          <w:highlight w:val="none"/>
        </w:rPr>
        <w:t>综合上述分析，</w:t>
      </w:r>
      <w:r>
        <w:rPr>
          <w:rFonts w:hint="eastAsia" w:ascii="仿宋_GB2312" w:hAnsi="仿宋_GB2312" w:eastAsia="仿宋_GB2312" w:cs="仿宋_GB2312"/>
          <w:color w:val="auto"/>
          <w:kern w:val="0"/>
          <w:sz w:val="32"/>
          <w:szCs w:val="32"/>
        </w:rPr>
        <w:t>根据评分标准，该指标得分</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分</w:t>
      </w:r>
      <w:r>
        <w:rPr>
          <w:rFonts w:hint="eastAsia" w:ascii="仿宋_GB2312" w:hAnsi="仿宋_GB2312" w:eastAsia="仿宋_GB2312" w:cs="仿宋_GB2312"/>
          <w:color w:val="auto"/>
          <w:sz w:val="32"/>
          <w:szCs w:val="32"/>
          <w:highlight w:val="none"/>
        </w:rPr>
        <w:t>。</w:t>
      </w:r>
    </w:p>
    <w:p>
      <w:pPr>
        <w:spacing w:before="205" w:line="224" w:lineRule="auto"/>
        <w:ind w:left="804"/>
        <w:outlineLvl w:val="2"/>
        <w:rPr>
          <w:rFonts w:ascii="楷体" w:hAnsi="楷体" w:eastAsia="楷体" w:cs="楷体"/>
          <w:b/>
          <w:bCs/>
          <w:color w:val="auto"/>
          <w:spacing w:val="27"/>
          <w:sz w:val="31"/>
          <w:szCs w:val="31"/>
        </w:rPr>
      </w:pPr>
      <w:r>
        <w:rPr>
          <w:rFonts w:ascii="楷体" w:hAnsi="楷体" w:eastAsia="楷体" w:cs="楷体"/>
          <w:b/>
          <w:bCs/>
          <w:color w:val="auto"/>
          <w:spacing w:val="27"/>
          <w:sz w:val="31"/>
          <w:szCs w:val="31"/>
        </w:rPr>
        <w:t>(三)项目绩效情况</w:t>
      </w:r>
    </w:p>
    <w:p>
      <w:pPr>
        <w:spacing w:before="210" w:line="222" w:lineRule="auto"/>
        <w:ind w:left="65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5"/>
          <w:sz w:val="32"/>
          <w:szCs w:val="32"/>
        </w:rPr>
        <w:t>1</w:t>
      </w:r>
      <w:r>
        <w:rPr>
          <w:rFonts w:hint="eastAsia" w:ascii="仿宋_GB2312" w:hAnsi="仿宋_GB2312" w:eastAsia="仿宋_GB2312" w:cs="仿宋_GB2312"/>
          <w:color w:val="auto"/>
          <w:spacing w:val="35"/>
          <w:sz w:val="32"/>
          <w:szCs w:val="32"/>
          <w:lang w:val="en-US" w:eastAsia="zh-CN"/>
        </w:rPr>
        <w:t>.</w:t>
      </w:r>
      <w:r>
        <w:rPr>
          <w:rFonts w:hint="eastAsia" w:ascii="仿宋_GB2312" w:hAnsi="仿宋_GB2312" w:eastAsia="仿宋_GB2312" w:cs="仿宋_GB2312"/>
          <w:color w:val="auto"/>
          <w:spacing w:val="35"/>
          <w:sz w:val="32"/>
          <w:szCs w:val="32"/>
        </w:rPr>
        <w:t>项目</w:t>
      </w:r>
      <w:r>
        <w:rPr>
          <w:rFonts w:hint="eastAsia" w:ascii="仿宋_GB2312" w:hAnsi="仿宋_GB2312" w:eastAsia="仿宋_GB2312" w:cs="仿宋_GB2312"/>
          <w:color w:val="auto"/>
          <w:spacing w:val="35"/>
          <w:sz w:val="32"/>
          <w:szCs w:val="32"/>
          <w:lang w:val="en-US" w:eastAsia="zh-CN"/>
        </w:rPr>
        <w:t>产出</w:t>
      </w:r>
      <w:r>
        <w:rPr>
          <w:rFonts w:hint="eastAsia" w:ascii="仿宋_GB2312" w:hAnsi="仿宋_GB2312" w:eastAsia="仿宋_GB2312" w:cs="仿宋_GB2312"/>
          <w:color w:val="auto"/>
          <w:spacing w:val="35"/>
          <w:sz w:val="32"/>
          <w:szCs w:val="32"/>
        </w:rPr>
        <w:t>情况分析(满分</w:t>
      </w:r>
      <w:r>
        <w:rPr>
          <w:rFonts w:hint="eastAsia" w:ascii="仿宋_GB2312" w:hAnsi="仿宋_GB2312" w:eastAsia="仿宋_GB2312" w:cs="仿宋_GB2312"/>
          <w:color w:val="auto"/>
          <w:spacing w:val="35"/>
          <w:sz w:val="32"/>
          <w:szCs w:val="32"/>
          <w:lang w:val="en-US" w:eastAsia="zh-CN"/>
        </w:rPr>
        <w:t>30</w:t>
      </w:r>
      <w:r>
        <w:rPr>
          <w:rFonts w:hint="eastAsia" w:ascii="仿宋_GB2312" w:hAnsi="仿宋_GB2312" w:eastAsia="仿宋_GB2312" w:cs="仿宋_GB2312"/>
          <w:color w:val="auto"/>
          <w:spacing w:val="35"/>
          <w:sz w:val="32"/>
          <w:szCs w:val="32"/>
        </w:rPr>
        <w:t>分，得</w:t>
      </w:r>
      <w:r>
        <w:rPr>
          <w:rFonts w:hint="eastAsia" w:ascii="仿宋_GB2312" w:hAnsi="仿宋_GB2312" w:eastAsia="仿宋_GB2312" w:cs="仿宋_GB2312"/>
          <w:color w:val="auto"/>
          <w:spacing w:val="35"/>
          <w:sz w:val="32"/>
          <w:szCs w:val="32"/>
          <w:lang w:val="en-US" w:eastAsia="zh-CN"/>
        </w:rPr>
        <w:t>30</w:t>
      </w:r>
      <w:r>
        <w:rPr>
          <w:rFonts w:hint="eastAsia" w:ascii="仿宋_GB2312" w:hAnsi="仿宋_GB2312" w:eastAsia="仿宋_GB2312" w:cs="仿宋_GB2312"/>
          <w:color w:val="auto"/>
          <w:spacing w:val="35"/>
          <w:sz w:val="32"/>
          <w:szCs w:val="32"/>
        </w:rPr>
        <w:t>分)</w:t>
      </w: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firstLine="664" w:firstLineChars="200"/>
        <w:textAlignment w:val="auto"/>
        <w:rPr>
          <w:rFonts w:hint="eastAsia" w:ascii="仿宋_GB2312" w:hAnsi="仿宋_GB2312" w:eastAsia="仿宋_GB2312" w:cs="仿宋_GB2312"/>
          <w:color w:val="auto"/>
          <w:spacing w:val="6"/>
          <w:sz w:val="32"/>
          <w:szCs w:val="32"/>
          <w:lang w:val="en-US" w:eastAsia="zh-CN"/>
        </w:rPr>
      </w:pPr>
      <w:bookmarkStart w:id="119" w:name="_Toc30677"/>
      <w:r>
        <w:rPr>
          <w:rFonts w:hint="eastAsia" w:ascii="仿宋_GB2312" w:hAnsi="仿宋_GB2312" w:eastAsia="仿宋_GB2312" w:cs="仿宋_GB2312"/>
          <w:color w:val="auto"/>
          <w:spacing w:val="6"/>
          <w:sz w:val="32"/>
          <w:szCs w:val="32"/>
          <w:lang w:val="en-US" w:eastAsia="zh-CN"/>
        </w:rPr>
        <w:t>（1）产出数量（指标分值15分，得分15分）</w:t>
      </w:r>
      <w:bookmarkEnd w:id="119"/>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根据项目产出数量完成情况与绩效目标对比，截止绩效评价基准日，2024年三亚市城郊人民法院本级执法办案业务项目案卷扫描页数3090745页，超过设定的绩效目标值，产出指标完成率100%。</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综合上述分析，指标分值15分，得分15分。</w:t>
      </w: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firstLine="664"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（2）产出数量（指标分值15分，得分15分）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根据项目产出质量完成情况与绩效目标对比，截止绩效评价基准日，</w:t>
      </w:r>
      <w:r>
        <w:rPr>
          <w:rFonts w:hint="eastAsia" w:ascii="仿宋_GB2312" w:hAnsi="仿宋_GB2312" w:eastAsia="仿宋_GB2312" w:cs="仿宋_GB2312"/>
          <w:b w:val="0"/>
          <w:bCs w:val="0"/>
          <w:color w:val="auto"/>
          <w:kern w:val="2"/>
          <w:sz w:val="32"/>
          <w:szCs w:val="32"/>
          <w:lang w:val="en-US" w:eastAsia="zh-CN" w:bidi="ar-SA"/>
        </w:rPr>
        <w:t>2024年</w:t>
      </w:r>
      <w:r>
        <w:rPr>
          <w:rFonts w:hint="eastAsia" w:ascii="仿宋_GB2312" w:hAnsi="仿宋_GB2312" w:eastAsia="仿宋_GB2312" w:cs="仿宋_GB2312"/>
          <w:color w:val="auto"/>
          <w:spacing w:val="9"/>
          <w:sz w:val="32"/>
          <w:szCs w:val="32"/>
          <w:lang w:val="en-US" w:eastAsia="zh-CN"/>
        </w:rPr>
        <w:t>三亚市城郊人民法院本级</w:t>
      </w:r>
      <w:r>
        <w:rPr>
          <w:rFonts w:hint="eastAsia" w:ascii="仿宋_GB2312" w:hAnsi="仿宋_GB2312" w:eastAsia="仿宋_GB2312" w:cs="仿宋_GB2312"/>
          <w:b w:val="0"/>
          <w:bCs w:val="0"/>
          <w:color w:val="auto"/>
          <w:kern w:val="2"/>
          <w:sz w:val="32"/>
          <w:szCs w:val="32"/>
          <w:lang w:val="en-US" w:eastAsia="zh-CN" w:bidi="ar-SA"/>
        </w:rPr>
        <w:t>执法办案业务项目陪审员补助支持案件数5100件，</w:t>
      </w:r>
      <w:r>
        <w:rPr>
          <w:rFonts w:hint="eastAsia" w:ascii="仿宋_GB2312" w:hAnsi="仿宋_GB2312" w:eastAsia="仿宋_GB2312" w:cs="仿宋_GB2312"/>
          <w:color w:val="auto"/>
          <w:spacing w:val="9"/>
          <w:sz w:val="32"/>
          <w:szCs w:val="32"/>
          <w:lang w:val="en-US" w:eastAsia="zh-CN"/>
        </w:rPr>
        <w:t>超过设定的绩效目标值，</w:t>
      </w:r>
      <w:r>
        <w:rPr>
          <w:rFonts w:hint="eastAsia" w:ascii="仿宋_GB2312" w:hAnsi="仿宋_GB2312" w:eastAsia="仿宋_GB2312" w:cs="仿宋_GB2312"/>
          <w:b w:val="0"/>
          <w:bCs w:val="0"/>
          <w:color w:val="auto"/>
          <w:kern w:val="2"/>
          <w:sz w:val="32"/>
          <w:szCs w:val="32"/>
          <w:lang w:val="en-US" w:eastAsia="zh-CN" w:bidi="ar-SA"/>
        </w:rPr>
        <w:t>产出指标完成率100%</w:t>
      </w:r>
      <w:r>
        <w:rPr>
          <w:rFonts w:hint="eastAsia" w:ascii="仿宋_GB2312" w:hAnsi="仿宋_GB2312" w:eastAsia="仿宋_GB2312" w:cs="仿宋_GB2312"/>
          <w:color w:val="auto"/>
          <w:spacing w:val="9"/>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综合上述分析，指标分值15分，得分15分。</w:t>
      </w:r>
    </w:p>
    <w:p>
      <w:pPr>
        <w:spacing w:before="210" w:line="222" w:lineRule="auto"/>
        <w:ind w:left="659"/>
        <w:rPr>
          <w:rFonts w:hint="eastAsia" w:ascii="仿宋_GB2312" w:hAnsi="仿宋_GB2312" w:eastAsia="仿宋_GB2312" w:cs="仿宋_GB2312"/>
          <w:color w:val="auto"/>
          <w:spacing w:val="35"/>
          <w:sz w:val="32"/>
          <w:szCs w:val="32"/>
        </w:rPr>
      </w:pPr>
      <w:r>
        <w:rPr>
          <w:rFonts w:hint="eastAsia" w:ascii="仿宋_GB2312" w:hAnsi="仿宋_GB2312" w:eastAsia="仿宋_GB2312" w:cs="仿宋_GB2312"/>
          <w:color w:val="auto"/>
          <w:spacing w:val="35"/>
          <w:sz w:val="32"/>
          <w:szCs w:val="32"/>
          <w:lang w:val="en-US" w:eastAsia="zh-CN"/>
        </w:rPr>
        <w:t>2.</w:t>
      </w:r>
      <w:r>
        <w:rPr>
          <w:rFonts w:hint="eastAsia" w:ascii="仿宋_GB2312" w:hAnsi="仿宋_GB2312" w:eastAsia="仿宋_GB2312" w:cs="仿宋_GB2312"/>
          <w:color w:val="auto"/>
          <w:spacing w:val="35"/>
          <w:sz w:val="32"/>
          <w:szCs w:val="32"/>
        </w:rPr>
        <w:t>项目效益情况分析(满分15分，得15分)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根据项目产出质量完成情况与绩效目标对比，截止绩效评价基准日，2024年三亚市城郊人民法院本级执法办案业务项目结案率为91.25%，超过设定的绩效目标值，效益指标完成率100%。</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综合上述分析，指标分值15分，得分15分。</w:t>
      </w:r>
    </w:p>
    <w:p>
      <w:pPr>
        <w:spacing w:before="210" w:line="222" w:lineRule="auto"/>
        <w:ind w:left="659"/>
        <w:rPr>
          <w:rFonts w:hint="eastAsia" w:ascii="仿宋_GB2312" w:hAnsi="仿宋_GB2312" w:eastAsia="仿宋_GB2312" w:cs="仿宋_GB2312"/>
          <w:color w:val="auto"/>
          <w:spacing w:val="35"/>
          <w:sz w:val="32"/>
          <w:szCs w:val="32"/>
          <w:lang w:val="en-US" w:eastAsia="zh-CN"/>
        </w:rPr>
      </w:pPr>
      <w:r>
        <w:rPr>
          <w:rFonts w:hint="eastAsia" w:ascii="仿宋_GB2312" w:hAnsi="仿宋_GB2312" w:eastAsia="仿宋_GB2312" w:cs="仿宋_GB2312"/>
          <w:color w:val="auto"/>
          <w:spacing w:val="35"/>
          <w:sz w:val="32"/>
          <w:szCs w:val="32"/>
          <w:lang w:val="en-US" w:eastAsia="zh-CN"/>
        </w:rPr>
        <w:t>3.满意度指标(满分15分，得15分)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通过采取问卷调查的方式进行了满意度调查，共随机发放了20份调查问卷，最终得分取所有问卷得分的平均得分，最终总分为95分(满意度为95%),完成绩效目标。</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 w:hAnsi="仿宋" w:eastAsia="仿宋" w:cs="仿宋"/>
          <w:color w:val="auto"/>
          <w:spacing w:val="9"/>
          <w:sz w:val="31"/>
          <w:szCs w:val="31"/>
          <w:lang w:val="en-US" w:eastAsia="zh-CN"/>
        </w:rPr>
      </w:pPr>
      <w:r>
        <w:rPr>
          <w:rFonts w:hint="eastAsia" w:ascii="仿宋_GB2312" w:hAnsi="仿宋_GB2312" w:eastAsia="仿宋_GB2312" w:cs="仿宋_GB2312"/>
          <w:color w:val="auto"/>
          <w:spacing w:val="9"/>
          <w:sz w:val="32"/>
          <w:szCs w:val="32"/>
          <w:lang w:val="en-US" w:eastAsia="zh-CN"/>
        </w:rPr>
        <w:t>综合上述分析，指标分值15分，得分15分。</w:t>
      </w:r>
    </w:p>
    <w:p>
      <w:pPr>
        <w:pStyle w:val="10"/>
        <w:rPr>
          <w:rFonts w:hint="eastAsia"/>
          <w:color w:val="auto"/>
          <w:lang w:val="en-US" w:eastAsia="zh-CN"/>
        </w:rPr>
      </w:pPr>
    </w:p>
    <w:p>
      <w:pPr>
        <w:spacing w:before="1" w:line="220" w:lineRule="auto"/>
        <w:ind w:left="664"/>
        <w:outlineLvl w:val="2"/>
        <w:rPr>
          <w:rFonts w:ascii="黑体" w:hAnsi="黑体" w:eastAsia="黑体" w:cs="黑体"/>
          <w:b/>
          <w:bCs/>
          <w:color w:val="auto"/>
          <w:spacing w:val="6"/>
          <w:sz w:val="31"/>
          <w:szCs w:val="31"/>
        </w:rPr>
      </w:pPr>
      <w:r>
        <w:rPr>
          <w:rFonts w:ascii="黑体" w:hAnsi="黑体" w:eastAsia="黑体" w:cs="黑体"/>
          <w:b/>
          <w:bCs/>
          <w:color w:val="auto"/>
          <w:spacing w:val="6"/>
          <w:sz w:val="31"/>
          <w:szCs w:val="31"/>
        </w:rPr>
        <w:t>五、主要经验及做法、存在的问题及原因分析</w:t>
      </w:r>
    </w:p>
    <w:p>
      <w:pPr>
        <w:spacing w:before="203" w:line="229" w:lineRule="auto"/>
        <w:ind w:left="849"/>
        <w:outlineLvl w:val="2"/>
        <w:rPr>
          <w:rFonts w:ascii="楷体" w:hAnsi="楷体" w:eastAsia="楷体" w:cs="楷体"/>
          <w:color w:val="auto"/>
          <w:sz w:val="31"/>
          <w:szCs w:val="31"/>
        </w:rPr>
      </w:pPr>
      <w:r>
        <w:rPr>
          <w:rFonts w:ascii="楷体" w:hAnsi="楷体" w:eastAsia="楷体" w:cs="楷体"/>
          <w:b/>
          <w:bCs/>
          <w:color w:val="auto"/>
          <w:spacing w:val="22"/>
          <w:sz w:val="31"/>
          <w:szCs w:val="31"/>
        </w:rPr>
        <w:t>(一)项目实施经验及做法</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严格按照项目管理制度和财务管理制度实施，对项目管理和监督，确保项目运行规范，资金使用合法合规；认真把关各项经费支出，规范专项资金管理，在具体实施过程中，坚持严格审批程序，不按程序申报的不批、条件不符的不批、手续缺项的不批；建立资金专户，专款专用，防止专项资金被挤占、挪用情况的发生；同时，采用国库集中支付，设立专项资金明细科目，实行报账制，专门核算，保证财政资金安全，提高财政资金的投资效益。</w:t>
      </w:r>
    </w:p>
    <w:p>
      <w:pPr>
        <w:spacing w:before="203" w:line="229" w:lineRule="auto"/>
        <w:ind w:left="849"/>
        <w:outlineLvl w:val="2"/>
        <w:rPr>
          <w:rFonts w:ascii="楷体" w:hAnsi="楷体" w:eastAsia="楷体" w:cs="楷体"/>
          <w:b/>
          <w:bCs/>
          <w:color w:val="auto"/>
          <w:spacing w:val="22"/>
          <w:sz w:val="31"/>
          <w:szCs w:val="31"/>
        </w:rPr>
      </w:pPr>
      <w:r>
        <w:rPr>
          <w:rFonts w:ascii="楷体" w:hAnsi="楷体" w:eastAsia="楷体" w:cs="楷体"/>
          <w:b/>
          <w:bCs/>
          <w:color w:val="auto"/>
          <w:spacing w:val="22"/>
          <w:sz w:val="31"/>
          <w:szCs w:val="31"/>
        </w:rPr>
        <w:t>(二)存在的问题及原因分析</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项目支出进度序时性及绩效目标合理性、科学性仍有欠缺，今后我院将在预算下达后，及时向负责相关支出项目的处室传达预算下达情况，并研究年度支出规划，及时跟进规划执行情况，达到支付条件的项目及时支出。日常干警个人支出项目，将严格报销时限，督促干警及时报销支出。由于该项目是我院办案支出，故绩效目标应更加体现支出产生的办案效果，故今后将优化绩效目标，使之能更加科学合理，更好地体现项目支出对于案件审判执行的支撑效果。</w:t>
      </w:r>
    </w:p>
    <w:p>
      <w:pPr>
        <w:pStyle w:val="10"/>
        <w:rPr>
          <w:rFonts w:hint="eastAsia"/>
          <w:color w:val="auto"/>
          <w:lang w:val="en-US" w:eastAsia="zh-CN"/>
        </w:rPr>
      </w:pPr>
    </w:p>
    <w:p>
      <w:pPr>
        <w:spacing w:before="1" w:line="220" w:lineRule="auto"/>
        <w:ind w:left="664"/>
        <w:outlineLvl w:val="2"/>
        <w:rPr>
          <w:rFonts w:ascii="黑体" w:hAnsi="黑体" w:eastAsia="黑体" w:cs="黑体"/>
          <w:b/>
          <w:bCs/>
          <w:color w:val="auto"/>
          <w:spacing w:val="6"/>
          <w:sz w:val="31"/>
          <w:szCs w:val="31"/>
        </w:rPr>
      </w:pPr>
      <w:r>
        <w:rPr>
          <w:rFonts w:ascii="黑体" w:hAnsi="黑体" w:eastAsia="黑体" w:cs="黑体"/>
          <w:b/>
          <w:bCs/>
          <w:color w:val="auto"/>
          <w:spacing w:val="6"/>
          <w:sz w:val="31"/>
          <w:szCs w:val="31"/>
        </w:rPr>
        <w:t>六、有关建议</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一是全面落实上级法院各项工作部署，忠实履行宪法法 律赋予的职责使命，充分发挥政府转移支付专项资金效益， 确保专款专用。通过落实经费保障，切实提升办案质效，着力建设智慧法院，努力推动法院工作在新时代实现新发展；二是细化预算编制工作，认真做好项目资金各明细支出预算的编制，进一步提高预算编制的科学性、合理性、严谨性和可控性；三是加强财务监控和情况反馈，对项目资金进行认真详细事前、事中、事后的检查分析，确保项目资金安全有效运行；四是严格执行预算计划，切实做到当年经费当年开支；五是提高指标值设置的科学性，在绩效指标选定后，充分考虑法院工作特殊性及不确定性，参考相关历史标准、行业标准、计划标准等，在考虑可实现性的基础上科学设定指标值，充分预估项目产出和效益。</w:t>
      </w:r>
    </w:p>
    <w:p>
      <w:pPr>
        <w:pStyle w:val="10"/>
        <w:rPr>
          <w:rFonts w:hint="eastAsia"/>
          <w:color w:val="auto"/>
          <w:lang w:val="en-US" w:eastAsia="zh-CN"/>
        </w:rPr>
      </w:pPr>
    </w:p>
    <w:p>
      <w:pPr>
        <w:spacing w:before="1" w:line="220" w:lineRule="auto"/>
        <w:ind w:left="664"/>
        <w:outlineLvl w:val="2"/>
        <w:rPr>
          <w:rFonts w:ascii="黑体" w:hAnsi="黑体" w:eastAsia="黑体" w:cs="黑体"/>
          <w:b/>
          <w:bCs/>
          <w:color w:val="auto"/>
          <w:spacing w:val="6"/>
          <w:sz w:val="31"/>
          <w:szCs w:val="31"/>
        </w:rPr>
      </w:pPr>
      <w:r>
        <w:rPr>
          <w:rFonts w:ascii="黑体" w:hAnsi="黑体" w:eastAsia="黑体" w:cs="黑体"/>
          <w:b/>
          <w:bCs/>
          <w:color w:val="auto"/>
          <w:spacing w:val="6"/>
          <w:sz w:val="31"/>
          <w:szCs w:val="31"/>
        </w:rPr>
        <w:t>七、其他需要说明的问题</w:t>
      </w:r>
    </w:p>
    <w:p>
      <w:pPr>
        <w:spacing w:before="212" w:line="222" w:lineRule="auto"/>
        <w:ind w:left="6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
          <w:sz w:val="32"/>
          <w:szCs w:val="32"/>
        </w:rPr>
        <w:t>无其他需要说明的问题。</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eastAsia="仿宋_GB2312"/>
          <w:color w:val="auto"/>
          <w:sz w:val="32"/>
          <w:szCs w:val="32"/>
          <w:lang w:val="en-US" w:eastAsia="zh-CN"/>
        </w:rPr>
      </w:pPr>
    </w:p>
    <w:sectPr>
      <w:footerReference r:id="rId4" w:type="default"/>
      <w:footerReference r:id="rId5"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Arial Unicode MS"/>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8994"/>
      <w:rPr>
        <w:rFonts w:ascii="Times New Roman" w:hAnsi="Times New Roman" w:eastAsia="Times New Roman" w:cs="Times New Roman"/>
        <w:sz w:val="14"/>
        <w:szCs w:val="14"/>
      </w:rPr>
    </w:pPr>
    <w:r>
      <w:rPr>
        <w:rFonts w:ascii="Times New Roman" w:hAnsi="Times New Roman" w:eastAsia="Times New Roman" w:cs="Times New Roman"/>
        <w:sz w:val="14"/>
        <w:szCs w:val="14"/>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18</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C0DF9C0D"/>
    <w:multiLevelType w:val="singleLevel"/>
    <w:tmpl w:val="C0DF9C0D"/>
    <w:lvl w:ilvl="0" w:tentative="0">
      <w:start w:val="1"/>
      <w:numFmt w:val="chineseCounting"/>
      <w:suff w:val="nothing"/>
      <w:lvlText w:val="%1、"/>
      <w:lvlJc w:val="left"/>
      <w:rPr>
        <w:rFonts w:hint="eastAsia"/>
      </w:rPr>
    </w:lvl>
  </w:abstractNum>
  <w:abstractNum w:abstractNumId="2">
    <w:nsid w:val="00950414"/>
    <w:multiLevelType w:val="singleLevel"/>
    <w:tmpl w:val="00950414"/>
    <w:lvl w:ilvl="0" w:tentative="0">
      <w:start w:val="4"/>
      <w:numFmt w:val="chineseCounting"/>
      <w:suff w:val="nothing"/>
      <w:lvlText w:val="（%1）"/>
      <w:lvlJc w:val="left"/>
      <w:rPr>
        <w:rFonts w:hint="eastAsia"/>
      </w:rPr>
    </w:lvl>
  </w:abstractNum>
  <w:abstractNum w:abstractNumId="3">
    <w:nsid w:val="4FB15FCC"/>
    <w:multiLevelType w:val="singleLevel"/>
    <w:tmpl w:val="4FB15FCC"/>
    <w:lvl w:ilvl="0" w:tentative="0">
      <w:start w:val="1"/>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06AEB"/>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1E2108E"/>
    <w:rsid w:val="02056998"/>
    <w:rsid w:val="02CA4E13"/>
    <w:rsid w:val="0320290F"/>
    <w:rsid w:val="03CE5A30"/>
    <w:rsid w:val="0481179B"/>
    <w:rsid w:val="04906571"/>
    <w:rsid w:val="04F46259"/>
    <w:rsid w:val="07006384"/>
    <w:rsid w:val="0748703F"/>
    <w:rsid w:val="077901F2"/>
    <w:rsid w:val="08373C6E"/>
    <w:rsid w:val="09201287"/>
    <w:rsid w:val="0A85373D"/>
    <w:rsid w:val="0B552D53"/>
    <w:rsid w:val="0C4D613D"/>
    <w:rsid w:val="0E47223D"/>
    <w:rsid w:val="0E734199"/>
    <w:rsid w:val="0E7735D7"/>
    <w:rsid w:val="0EA44169"/>
    <w:rsid w:val="0EE17A18"/>
    <w:rsid w:val="0FC80124"/>
    <w:rsid w:val="102B295D"/>
    <w:rsid w:val="10F149C5"/>
    <w:rsid w:val="11BF5285"/>
    <w:rsid w:val="12296E6F"/>
    <w:rsid w:val="133606D3"/>
    <w:rsid w:val="134817C2"/>
    <w:rsid w:val="135F1805"/>
    <w:rsid w:val="136F98C7"/>
    <w:rsid w:val="13812F37"/>
    <w:rsid w:val="13ED2CBE"/>
    <w:rsid w:val="1498033C"/>
    <w:rsid w:val="14982498"/>
    <w:rsid w:val="157F5E0F"/>
    <w:rsid w:val="15D2354B"/>
    <w:rsid w:val="16093209"/>
    <w:rsid w:val="1682639A"/>
    <w:rsid w:val="169D00A8"/>
    <w:rsid w:val="169D0FE1"/>
    <w:rsid w:val="169F024F"/>
    <w:rsid w:val="173B2289"/>
    <w:rsid w:val="17427E68"/>
    <w:rsid w:val="1755065F"/>
    <w:rsid w:val="179D02AB"/>
    <w:rsid w:val="17BD09D8"/>
    <w:rsid w:val="1800653A"/>
    <w:rsid w:val="18532380"/>
    <w:rsid w:val="18650384"/>
    <w:rsid w:val="18794B28"/>
    <w:rsid w:val="19ED5BFC"/>
    <w:rsid w:val="1A0803E6"/>
    <w:rsid w:val="1A0F267E"/>
    <w:rsid w:val="1AFC29C9"/>
    <w:rsid w:val="1BCC3DF5"/>
    <w:rsid w:val="1C242D51"/>
    <w:rsid w:val="1C76559A"/>
    <w:rsid w:val="1CA52F2E"/>
    <w:rsid w:val="1D6815BF"/>
    <w:rsid w:val="1E086045"/>
    <w:rsid w:val="1E232569"/>
    <w:rsid w:val="1E3630B9"/>
    <w:rsid w:val="1E5552A0"/>
    <w:rsid w:val="1E705794"/>
    <w:rsid w:val="1F7F4739"/>
    <w:rsid w:val="20680669"/>
    <w:rsid w:val="211519AD"/>
    <w:rsid w:val="215D5F65"/>
    <w:rsid w:val="21A53796"/>
    <w:rsid w:val="21B8680E"/>
    <w:rsid w:val="228518FE"/>
    <w:rsid w:val="22985EE3"/>
    <w:rsid w:val="23EF0BE7"/>
    <w:rsid w:val="24702268"/>
    <w:rsid w:val="25751614"/>
    <w:rsid w:val="25DB3F8C"/>
    <w:rsid w:val="263C2E87"/>
    <w:rsid w:val="26EEC2B5"/>
    <w:rsid w:val="27236030"/>
    <w:rsid w:val="29091278"/>
    <w:rsid w:val="2915486D"/>
    <w:rsid w:val="29472309"/>
    <w:rsid w:val="29CB7CA0"/>
    <w:rsid w:val="2AB503E7"/>
    <w:rsid w:val="2AD837D6"/>
    <w:rsid w:val="2AF13003"/>
    <w:rsid w:val="2AF9540F"/>
    <w:rsid w:val="2B406E77"/>
    <w:rsid w:val="2C2A0C43"/>
    <w:rsid w:val="2D1E73A5"/>
    <w:rsid w:val="2E5339A7"/>
    <w:rsid w:val="2E813651"/>
    <w:rsid w:val="2EC948EE"/>
    <w:rsid w:val="30374F3C"/>
    <w:rsid w:val="304275FB"/>
    <w:rsid w:val="31087D5F"/>
    <w:rsid w:val="313D7782"/>
    <w:rsid w:val="32173333"/>
    <w:rsid w:val="32717154"/>
    <w:rsid w:val="32724D3F"/>
    <w:rsid w:val="3325107D"/>
    <w:rsid w:val="333C0460"/>
    <w:rsid w:val="33EA013D"/>
    <w:rsid w:val="33F34DAE"/>
    <w:rsid w:val="34500D30"/>
    <w:rsid w:val="34B63260"/>
    <w:rsid w:val="34E10DEA"/>
    <w:rsid w:val="35056E5F"/>
    <w:rsid w:val="355C3448"/>
    <w:rsid w:val="3562177D"/>
    <w:rsid w:val="35DA7D84"/>
    <w:rsid w:val="35DF5886"/>
    <w:rsid w:val="35EC6788"/>
    <w:rsid w:val="3634238D"/>
    <w:rsid w:val="363B1F0D"/>
    <w:rsid w:val="37B12A10"/>
    <w:rsid w:val="37FDA7E2"/>
    <w:rsid w:val="399A3188"/>
    <w:rsid w:val="39DC71E1"/>
    <w:rsid w:val="3A314D88"/>
    <w:rsid w:val="3A746883"/>
    <w:rsid w:val="3BCC1B2A"/>
    <w:rsid w:val="3BD26083"/>
    <w:rsid w:val="3C0B70D3"/>
    <w:rsid w:val="3C2D6C0D"/>
    <w:rsid w:val="3C446C20"/>
    <w:rsid w:val="3C7B5BFF"/>
    <w:rsid w:val="3C924687"/>
    <w:rsid w:val="3CA15DE9"/>
    <w:rsid w:val="3D001A22"/>
    <w:rsid w:val="3E651E9A"/>
    <w:rsid w:val="3F4F339A"/>
    <w:rsid w:val="3FE61EE5"/>
    <w:rsid w:val="401C6757"/>
    <w:rsid w:val="406508EE"/>
    <w:rsid w:val="408D6263"/>
    <w:rsid w:val="41494633"/>
    <w:rsid w:val="41936BC8"/>
    <w:rsid w:val="41B40CEE"/>
    <w:rsid w:val="42253370"/>
    <w:rsid w:val="42B967A1"/>
    <w:rsid w:val="43786768"/>
    <w:rsid w:val="4385713A"/>
    <w:rsid w:val="43A940F2"/>
    <w:rsid w:val="446C2AA5"/>
    <w:rsid w:val="44967BB0"/>
    <w:rsid w:val="45223DDA"/>
    <w:rsid w:val="45D0794A"/>
    <w:rsid w:val="466C62AB"/>
    <w:rsid w:val="46F87A1D"/>
    <w:rsid w:val="470E4A51"/>
    <w:rsid w:val="471C4A13"/>
    <w:rsid w:val="48317291"/>
    <w:rsid w:val="485F7024"/>
    <w:rsid w:val="48E70666"/>
    <w:rsid w:val="49392ACC"/>
    <w:rsid w:val="49D15A0C"/>
    <w:rsid w:val="4A755BA7"/>
    <w:rsid w:val="4ACA6513"/>
    <w:rsid w:val="4AE254E6"/>
    <w:rsid w:val="4B4961F0"/>
    <w:rsid w:val="4B9A45B5"/>
    <w:rsid w:val="4BFB415E"/>
    <w:rsid w:val="4C6877E5"/>
    <w:rsid w:val="4C7B07CD"/>
    <w:rsid w:val="4D6A468D"/>
    <w:rsid w:val="4DA207BD"/>
    <w:rsid w:val="4EA86137"/>
    <w:rsid w:val="50775A97"/>
    <w:rsid w:val="51293CE5"/>
    <w:rsid w:val="51FF174E"/>
    <w:rsid w:val="5260536F"/>
    <w:rsid w:val="52FE0932"/>
    <w:rsid w:val="536923C4"/>
    <w:rsid w:val="554E5595"/>
    <w:rsid w:val="556B4BA3"/>
    <w:rsid w:val="560F28C5"/>
    <w:rsid w:val="56CA7FD0"/>
    <w:rsid w:val="57FA38D1"/>
    <w:rsid w:val="57FF458B"/>
    <w:rsid w:val="5857050E"/>
    <w:rsid w:val="586A31B8"/>
    <w:rsid w:val="594436FD"/>
    <w:rsid w:val="5A8727DD"/>
    <w:rsid w:val="5B14587D"/>
    <w:rsid w:val="5B85774D"/>
    <w:rsid w:val="5C365014"/>
    <w:rsid w:val="5E1754F1"/>
    <w:rsid w:val="5E7944CF"/>
    <w:rsid w:val="5E83008D"/>
    <w:rsid w:val="5F2A3D64"/>
    <w:rsid w:val="5F703476"/>
    <w:rsid w:val="5F7D0358"/>
    <w:rsid w:val="5F7D3333"/>
    <w:rsid w:val="5FBD72B2"/>
    <w:rsid w:val="5FC10F8E"/>
    <w:rsid w:val="605860E0"/>
    <w:rsid w:val="60807CE5"/>
    <w:rsid w:val="60874F6F"/>
    <w:rsid w:val="60A2212F"/>
    <w:rsid w:val="60F479D2"/>
    <w:rsid w:val="611E26D5"/>
    <w:rsid w:val="61385890"/>
    <w:rsid w:val="61A23E4C"/>
    <w:rsid w:val="62A41854"/>
    <w:rsid w:val="62C6423B"/>
    <w:rsid w:val="644E6AE4"/>
    <w:rsid w:val="64817267"/>
    <w:rsid w:val="65300D84"/>
    <w:rsid w:val="65B849A6"/>
    <w:rsid w:val="65BA63E1"/>
    <w:rsid w:val="65BC5F42"/>
    <w:rsid w:val="65EB5E4E"/>
    <w:rsid w:val="65FD176C"/>
    <w:rsid w:val="667E1592"/>
    <w:rsid w:val="671A7D20"/>
    <w:rsid w:val="67BC2FE5"/>
    <w:rsid w:val="68234F1F"/>
    <w:rsid w:val="685F6137"/>
    <w:rsid w:val="68711077"/>
    <w:rsid w:val="687436E1"/>
    <w:rsid w:val="69192315"/>
    <w:rsid w:val="69A50B1E"/>
    <w:rsid w:val="69FA2028"/>
    <w:rsid w:val="6A9E4255"/>
    <w:rsid w:val="6C5428C7"/>
    <w:rsid w:val="6DA45C50"/>
    <w:rsid w:val="6E9A7825"/>
    <w:rsid w:val="6EAD00A9"/>
    <w:rsid w:val="6EB8438E"/>
    <w:rsid w:val="6F670F9B"/>
    <w:rsid w:val="6F6E5FC2"/>
    <w:rsid w:val="70415DF4"/>
    <w:rsid w:val="70A20BB1"/>
    <w:rsid w:val="70D70721"/>
    <w:rsid w:val="712C4032"/>
    <w:rsid w:val="72917FCF"/>
    <w:rsid w:val="733817FF"/>
    <w:rsid w:val="737450E0"/>
    <w:rsid w:val="73785E10"/>
    <w:rsid w:val="73B979D9"/>
    <w:rsid w:val="74054476"/>
    <w:rsid w:val="742F38C4"/>
    <w:rsid w:val="74952A18"/>
    <w:rsid w:val="74AB66DC"/>
    <w:rsid w:val="74C4154C"/>
    <w:rsid w:val="74EC2EBB"/>
    <w:rsid w:val="75956FFF"/>
    <w:rsid w:val="76176A6B"/>
    <w:rsid w:val="77482495"/>
    <w:rsid w:val="77667BB6"/>
    <w:rsid w:val="77AA2D01"/>
    <w:rsid w:val="77DF3262"/>
    <w:rsid w:val="77F35427"/>
    <w:rsid w:val="7825043A"/>
    <w:rsid w:val="782D154D"/>
    <w:rsid w:val="784B4C61"/>
    <w:rsid w:val="79100DED"/>
    <w:rsid w:val="79834CB4"/>
    <w:rsid w:val="799E2020"/>
    <w:rsid w:val="79F36FD1"/>
    <w:rsid w:val="7A4057CC"/>
    <w:rsid w:val="7A9610E9"/>
    <w:rsid w:val="7B243926"/>
    <w:rsid w:val="7B480455"/>
    <w:rsid w:val="7B7B774B"/>
    <w:rsid w:val="7C6925F6"/>
    <w:rsid w:val="7CDE1DBD"/>
    <w:rsid w:val="7D8C3851"/>
    <w:rsid w:val="7D943A85"/>
    <w:rsid w:val="7DB0448C"/>
    <w:rsid w:val="7E143D62"/>
    <w:rsid w:val="7E5F9AA4"/>
    <w:rsid w:val="7F1750DF"/>
    <w:rsid w:val="7FE11E4D"/>
    <w:rsid w:val="7FEA007E"/>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Body Text Indent"/>
    <w:basedOn w:val="1"/>
    <w:qFormat/>
    <w:uiPriority w:val="0"/>
    <w:pPr>
      <w:ind w:left="420" w:leftChars="200"/>
    </w:p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jc w:val="left"/>
    </w:pPr>
    <w:rPr>
      <w:kern w:val="0"/>
      <w:sz w:val="24"/>
    </w:rPr>
  </w:style>
  <w:style w:type="paragraph" w:styleId="9">
    <w:name w:val="annotation subject"/>
    <w:basedOn w:val="2"/>
    <w:next w:val="2"/>
    <w:link w:val="18"/>
    <w:qFormat/>
    <w:uiPriority w:val="0"/>
    <w:rPr>
      <w:b/>
      <w:bCs/>
    </w:rPr>
  </w:style>
  <w:style w:type="paragraph" w:styleId="10">
    <w:name w:val="Body Text First Indent 2"/>
    <w:basedOn w:val="4"/>
    <w:qFormat/>
    <w:uiPriority w:val="0"/>
    <w:pPr>
      <w:ind w:firstLine="420" w:firstLineChars="200"/>
    </w:pPr>
  </w:style>
  <w:style w:type="character" w:styleId="13">
    <w:name w:val="page number"/>
    <w:qFormat/>
    <w:uiPriority w:val="0"/>
  </w:style>
  <w:style w:type="character" w:styleId="14">
    <w:name w:val="annotation reference"/>
    <w:qFormat/>
    <w:uiPriority w:val="0"/>
    <w:rPr>
      <w:sz w:val="21"/>
      <w:szCs w:val="21"/>
    </w:rPr>
  </w:style>
  <w:style w:type="character" w:customStyle="1" w:styleId="15">
    <w:name w:val="批注文字 Char"/>
    <w:link w:val="2"/>
    <w:qFormat/>
    <w:uiPriority w:val="0"/>
    <w:rPr>
      <w:kern w:val="2"/>
      <w:sz w:val="21"/>
      <w:szCs w:val="24"/>
    </w:rPr>
  </w:style>
  <w:style w:type="character" w:customStyle="1" w:styleId="16">
    <w:name w:val="批注框文本 Char"/>
    <w:link w:val="5"/>
    <w:qFormat/>
    <w:uiPriority w:val="0"/>
    <w:rPr>
      <w:kern w:val="2"/>
      <w:sz w:val="18"/>
      <w:szCs w:val="18"/>
    </w:rPr>
  </w:style>
  <w:style w:type="character" w:customStyle="1" w:styleId="17">
    <w:name w:val="页眉 Char"/>
    <w:link w:val="7"/>
    <w:qFormat/>
    <w:uiPriority w:val="0"/>
    <w:rPr>
      <w:kern w:val="2"/>
      <w:sz w:val="18"/>
      <w:szCs w:val="18"/>
    </w:rPr>
  </w:style>
  <w:style w:type="character" w:customStyle="1" w:styleId="18">
    <w:name w:val="批注主题 Char"/>
    <w:link w:val="9"/>
    <w:qFormat/>
    <w:uiPriority w:val="0"/>
    <w:rPr>
      <w:b/>
      <w:bCs/>
      <w:kern w:val="2"/>
      <w:sz w:val="21"/>
      <w:szCs w:val="24"/>
    </w:rPr>
  </w:style>
  <w:style w:type="paragraph" w:customStyle="1" w:styleId="19">
    <w:name w:val="WPSOffice手动目录 1"/>
    <w:qFormat/>
    <w:uiPriority w:val="0"/>
    <w:rPr>
      <w:rFonts w:ascii="Times New Roman" w:hAnsi="Times New Roman" w:eastAsia="宋体" w:cs="Times New Roman"/>
      <w:lang w:val="en-US" w:eastAsia="zh-CN" w:bidi="ar-SA"/>
    </w:rPr>
  </w:style>
  <w:style w:type="paragraph" w:customStyle="1" w:styleId="20">
    <w:name w:val="WPSOffice手动目录 2"/>
    <w:qFormat/>
    <w:uiPriority w:val="0"/>
    <w:pPr>
      <w:ind w:leftChars="200"/>
    </w:pPr>
    <w:rPr>
      <w:rFonts w:ascii="Times New Roman" w:hAnsi="Times New Roman" w:eastAsia="宋体" w:cs="Times New Roman"/>
      <w:lang w:val="en-US" w:eastAsia="zh-CN" w:bidi="ar-SA"/>
    </w:rPr>
  </w:style>
  <w:style w:type="paragraph" w:customStyle="1" w:styleId="21">
    <w:name w:val="正文1 Char Char Char"/>
    <w:basedOn w:val="1"/>
    <w:qFormat/>
    <w:uiPriority w:val="0"/>
    <w:pPr>
      <w:spacing w:line="360" w:lineRule="auto"/>
      <w:ind w:firstLine="200" w:firstLineChars="200"/>
    </w:p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1163</Words>
  <Characters>2480</Characters>
  <Lines>67</Lines>
  <Paragraphs>18</Paragraphs>
  <TotalTime>10</TotalTime>
  <ScaleCrop>false</ScaleCrop>
  <LinksUpToDate>false</LinksUpToDate>
  <CharactersWithSpaces>2528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HUAWEI</cp:lastModifiedBy>
  <cp:lastPrinted>2023-08-03T00:58:00Z</cp:lastPrinted>
  <dcterms:modified xsi:type="dcterms:W3CDTF">2025-08-26T08:21:55Z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03AE7F14E2DC4BACB053764200FF950D_13</vt:lpwstr>
  </property>
  <property fmtid="{D5CDD505-2E9C-101B-9397-08002B2CF9AE}" pid="4" name="KSOTemplateDocerSaveRecord">
    <vt:lpwstr>eyJoZGlkIjoiY2VlZThlZDk5ZTQ4MTFjNGY3MjIxNTdiOWMzZmQwMWMiLCJ1c2VySWQiOiIyMzQ5MTc1OTYifQ==</vt:lpwstr>
  </property>
</Properties>
</file>