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三亚市城郊人民法院2024年度部门决算公开报告</w:t>
      </w:r>
    </w:p>
    <w:p>
      <w:pPr>
        <w:spacing w:line="578" w:lineRule="exact"/>
        <w:jc w:val="center"/>
        <w:rPr>
          <w:rFonts w:hint="eastAsia" w:ascii="黑体" w:hAnsi="ˎ̥" w:eastAsia="黑体"/>
          <w:b/>
          <w:color w:val="auto"/>
          <w:sz w:val="32"/>
          <w:szCs w:val="32"/>
        </w:rPr>
      </w:pPr>
    </w:p>
    <w:p>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19"/>
        <w:keepNext w:val="0"/>
        <w:keepLines w:val="0"/>
        <w:pageBreakBefore w:val="0"/>
        <w:widowControl/>
        <w:tabs>
          <w:tab w:val="right" w:leader="dot" w:pos="8306"/>
        </w:tabs>
        <w:kinsoku/>
        <w:wordWrap/>
        <w:overflowPunct/>
        <w:topLinePunct w:val="0"/>
        <w:autoSpaceDE/>
        <w:autoSpaceDN/>
        <w:bidi w:val="0"/>
        <w:adjustRightInd/>
        <w:snapToGrid/>
        <w:spacing w:line="578" w:lineRule="exact"/>
        <w:ind w:firstLine="320" w:firstLineChars="100"/>
        <w:textAlignment w:val="auto"/>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3</w:t>
      </w:r>
    </w:p>
    <w:p>
      <w:pPr>
        <w:pStyle w:val="19"/>
        <w:tabs>
          <w:tab w:val="right" w:leader="dot" w:pos="8306"/>
        </w:tabs>
        <w:spacing w:line="578" w:lineRule="exact"/>
        <w:ind w:firstLine="320" w:firstLineChars="100"/>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lang w:val="en-US" w:eastAsia="zh-CN"/>
        </w:rPr>
        <w:t>3</w:t>
      </w:r>
    </w:p>
    <w:p>
      <w:pPr>
        <w:pStyle w:val="19"/>
        <w:tabs>
          <w:tab w:val="right" w:leader="dot" w:pos="8306"/>
        </w:tabs>
        <w:spacing w:line="578" w:lineRule="exact"/>
        <w:ind w:firstLine="320" w:firstLineChars="100"/>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lang w:val="en-US" w:eastAsia="zh-CN"/>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7</w:t>
      </w:r>
    </w:p>
    <w:p>
      <w:pPr>
        <w:pStyle w:val="20"/>
        <w:numPr>
          <w:ilvl w:val="0"/>
          <w:numId w:val="0"/>
        </w:numPr>
        <w:tabs>
          <w:tab w:val="right" w:leader="dot" w:pos="8306"/>
        </w:tabs>
        <w:spacing w:line="578" w:lineRule="exact"/>
        <w:ind w:firstLine="320" w:firstLineChars="100"/>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8</w:t>
      </w:r>
    </w:p>
    <w:p>
      <w:pPr>
        <w:pStyle w:val="20"/>
        <w:numPr>
          <w:ilvl w:val="0"/>
          <w:numId w:val="0"/>
        </w:numPr>
        <w:tabs>
          <w:tab w:val="right" w:leader="dot" w:pos="8306"/>
        </w:tabs>
        <w:spacing w:line="578" w:lineRule="exact"/>
        <w:ind w:firstLine="320" w:firstLineChars="100"/>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8</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p>
    <w:p>
      <w:pPr>
        <w:pStyle w:val="20"/>
        <w:tabs>
          <w:tab w:val="right" w:leader="dot" w:pos="8306"/>
        </w:tabs>
        <w:spacing w:line="578" w:lineRule="exact"/>
        <w:ind w:leftChars="0" w:firstLine="320" w:firstLineChars="100"/>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p>
    <w:p>
      <w:pPr>
        <w:pStyle w:val="19"/>
        <w:tabs>
          <w:tab w:val="right" w:leader="dot" w:pos="8306"/>
        </w:tabs>
        <w:spacing w:line="578" w:lineRule="exact"/>
        <w:ind w:firstLine="320" w:firstLineChars="100"/>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pPr>
        <w:spacing w:line="578" w:lineRule="exact"/>
        <w:jc w:val="both"/>
        <w:rPr>
          <w:rFonts w:hint="eastAsia" w:ascii="黑体" w:hAnsi="ˎ̥" w:eastAsia="黑体"/>
          <w:color w:val="auto"/>
          <w:sz w:val="32"/>
          <w:szCs w:val="32"/>
        </w:rPr>
      </w:pPr>
      <w:bookmarkStart w:id="2" w:name="_Toc22941_WPSOffice_Level1"/>
      <w:bookmarkStart w:id="3" w:name="_Toc1704_WPSOffice_Level1"/>
      <w:bookmarkStart w:id="4" w:name="_Toc23465_WPSOffice_Level1"/>
      <w:bookmarkStart w:id="5" w:name="_Toc32433_WPSOffice_Level1"/>
      <w:bookmarkStart w:id="6" w:name="_Toc10049_WPSOffice_Level1"/>
      <w:bookmarkStart w:id="7" w:name="_Toc10720_WPSOffice_Level1"/>
      <w:bookmarkStart w:id="8" w:name="_Toc24238_WPSOffice_Level2"/>
      <w:bookmarkStart w:id="9" w:name="_Toc32622_WPSOffice_Level2"/>
      <w:bookmarkStart w:id="10" w:name="_Toc14159_WPSOffice_Level2"/>
      <w:bookmarkStart w:id="11" w:name="_Toc26580_WPSOffice_Level2"/>
      <w:bookmarkStart w:id="12" w:name="_Toc20205_WPSOffice_Level2"/>
      <w:bookmarkStart w:id="13" w:name="_Toc20274_WPSOffice_Level2"/>
    </w:p>
    <w:p>
      <w:pPr>
        <w:spacing w:line="578" w:lineRule="exact"/>
        <w:jc w:val="both"/>
        <w:rPr>
          <w:rFonts w:hint="eastAsia" w:ascii="黑体" w:hAnsi="ˎ̥" w:eastAsia="黑体"/>
          <w:color w:val="auto"/>
          <w:sz w:val="32"/>
          <w:szCs w:val="32"/>
        </w:rPr>
      </w:pPr>
    </w:p>
    <w:p>
      <w:pPr>
        <w:spacing w:line="578" w:lineRule="exact"/>
        <w:jc w:val="both"/>
        <w:rPr>
          <w:rFonts w:hint="eastAsia" w:ascii="黑体" w:hAnsi="ˎ̥" w:eastAsia="黑体"/>
          <w:color w:val="auto"/>
          <w:sz w:val="32"/>
          <w:szCs w:val="32"/>
        </w:rPr>
      </w:pPr>
    </w:p>
    <w:p>
      <w:pPr>
        <w:spacing w:line="578" w:lineRule="exact"/>
        <w:jc w:val="both"/>
        <w:rPr>
          <w:rFonts w:hint="eastAsia" w:ascii="黑体" w:hAnsi="ˎ̥" w:eastAsia="黑体"/>
          <w:color w:val="auto"/>
          <w:sz w:val="32"/>
          <w:szCs w:val="32"/>
        </w:rPr>
      </w:pPr>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numPr>
          <w:ilvl w:val="0"/>
          <w:numId w:val="1"/>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职责</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（2）依法审判法律规定由基层人民法院管辖的第一审刑事、民事、行政等第一审案件。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（3）受理不服本院生效裁判的各类申诉和再审申请，对其中确有错误的，提起再审。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（4）依法审判由上级法院指定管辖和交办的刑事、民事、行政等案件。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（5）执行本院已经发生法律效力的第一审判决、裁定以及法律规定应由本院执行的其他生效法律文书和外省市（县）法院委托执行的案件。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（6）组织开展调研，对法律、法规、规章等草案提出意见；针对案件中发现的问题提出司法建议。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（7）加强普法宣传，会同有关部门和社会团体做好未成年人犯罪的预防、审判、教育、感化和挽救工作。教育、引导公民自觉遵守宪法、法律。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（8）负责本院的思想政治、教育培训、督察工作;按权限管理法官、法官助理、书记员、司法警察及司法行政人员。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（9）依照规定协同上级职能部门做好机构编制管理，以及干部考核、培养和选拔任用工作。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（10）负责本院的司法行政工作，管理本院的国有资产、经费财产、物资装备和基本建设。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（11）完成市委、市人大和上级人民法院交办的其他工作。</w:t>
      </w:r>
    </w:p>
    <w:p>
      <w:pPr>
        <w:spacing w:line="578" w:lineRule="exact"/>
        <w:ind w:firstLine="640" w:firstLineChars="200"/>
        <w:rPr>
          <w:rFonts w:hint="eastAsia" w:ascii="黑体" w:hAnsi="黑体" w:eastAsia="黑体" w:cs="黑体"/>
          <w:color w:val="auto"/>
          <w:sz w:val="32"/>
          <w:szCs w:val="32"/>
        </w:rPr>
      </w:pPr>
      <w:bookmarkStart w:id="14" w:name="_Toc17796_WPSOffice_Level2"/>
      <w:bookmarkStart w:id="15" w:name="_Toc4833_WPSOffice_Level2"/>
      <w:bookmarkStart w:id="16" w:name="_Toc6572_WPSOffice_Level2"/>
      <w:bookmarkStart w:id="17" w:name="_Toc24059_WPSOffice_Level2"/>
      <w:bookmarkStart w:id="18" w:name="_Toc24474_WPSOffice_Level2"/>
      <w:r>
        <w:rPr>
          <w:rFonts w:hint="eastAsia" w:ascii="黑体" w:hAnsi="黑体" w:eastAsia="黑体" w:cs="黑体"/>
          <w:color w:val="auto"/>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w:t>
      </w:r>
      <w:r>
        <w:rPr>
          <w:rFonts w:hint="eastAsia" w:ascii="仿宋_GB2312" w:hAnsi="ˎ̥" w:eastAsia="仿宋_GB2312"/>
          <w:color w:val="auto"/>
          <w:sz w:val="32"/>
          <w:szCs w:val="32"/>
          <w:lang w:val="en-US" w:eastAsia="zh-CN"/>
        </w:rPr>
        <w:t>三亚市城郊人民法院</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年度部门决算编制范围的单位共</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个，</w:t>
      </w:r>
      <w:r>
        <w:rPr>
          <w:rFonts w:hint="eastAsia" w:ascii="仿宋_GB2312" w:hAnsi="ˎ̥" w:eastAsia="仿宋_GB2312"/>
          <w:color w:val="auto"/>
          <w:sz w:val="32"/>
          <w:szCs w:val="32"/>
          <w:lang w:val="en-US" w:eastAsia="zh-CN"/>
        </w:rPr>
        <w:t>即三亚市城郊人民法院部门本级，其内设机构共14个</w:t>
      </w:r>
      <w:r>
        <w:rPr>
          <w:rFonts w:hint="eastAsia" w:ascii="仿宋_GB2312" w:hAnsi="ˎ̥" w:eastAsia="仿宋_GB2312"/>
          <w:color w:val="auto"/>
          <w:sz w:val="32"/>
          <w:szCs w:val="32"/>
        </w:rPr>
        <w:t>：包括办公室、政治部、立案庭、刑事审判庭、民事审判庭、行政审判庭、执行局、旅游审判庭、审判管理办公室、司法警察大队、海棠湾人民法庭、吉阳人民法庭、天涯人民法庭、崖城人民法庭。</w:t>
      </w:r>
    </w:p>
    <w:p>
      <w:pPr>
        <w:spacing w:line="578" w:lineRule="exact"/>
        <w:jc w:val="center"/>
        <w:rPr>
          <w:rFonts w:hint="eastAsia" w:ascii="黑体" w:hAnsi="ˎ̥" w:eastAsia="黑体"/>
          <w:color w:val="auto"/>
          <w:sz w:val="32"/>
          <w:szCs w:val="32"/>
        </w:rPr>
      </w:pPr>
      <w:bookmarkStart w:id="19" w:name="_Toc15521_WPSOffice_Level1"/>
      <w:bookmarkStart w:id="20" w:name="_Toc6234_WPSOffice_Level1"/>
      <w:bookmarkStart w:id="21" w:name="_Toc30690_WPSOffice_Level1"/>
      <w:bookmarkStart w:id="22" w:name="_Toc30451_WPSOffice_Level1"/>
      <w:bookmarkStart w:id="23" w:name="_Toc28253_WPSOffice_Level1"/>
      <w:bookmarkStart w:id="24" w:name="_Toc8164_WPSOffice_Level1"/>
      <w:bookmarkStart w:id="25" w:name="_Toc8867_WPSOffice_Level2"/>
      <w:bookmarkStart w:id="26" w:name="_Toc11518_WPSOffice_Level2"/>
      <w:bookmarkStart w:id="27" w:name="_Toc4029_WPSOffice_Level2"/>
      <w:bookmarkStart w:id="28" w:name="_Toc6211_WPSOffice_Level2"/>
      <w:bookmarkStart w:id="29" w:name="_Toc32695_WPSOffice_Level2"/>
      <w:bookmarkStart w:id="30" w:name="_Toc32472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color w:val="auto"/>
          <w:sz w:val="32"/>
          <w:szCs w:val="32"/>
        </w:rPr>
      </w:pPr>
      <w:bookmarkStart w:id="31" w:name="_Toc26621_WPSOffice_Level2"/>
      <w:bookmarkStart w:id="32" w:name="_Toc25608_WPSOffice_Level2"/>
      <w:bookmarkStart w:id="33" w:name="_Toc23139_WPSOffice_Level2"/>
      <w:bookmarkStart w:id="34" w:name="_Toc30334_WPSOffice_Level2"/>
      <w:bookmarkStart w:id="35" w:name="_Toc14349_WPSOffice_Level2"/>
      <w:bookmarkStart w:id="36" w:name="_Toc28622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5489_WPSOffice_Level2"/>
      <w:bookmarkStart w:id="38" w:name="_Toc3262_WPSOffice_Level2"/>
      <w:bookmarkStart w:id="39" w:name="_Toc17626_WPSOffice_Level2"/>
      <w:bookmarkStart w:id="40" w:name="_Toc13854_WPSOffice_Level2"/>
      <w:bookmarkStart w:id="41" w:name="_Toc17858_WPSOffice_Level2"/>
      <w:bookmarkStart w:id="42" w:name="_Toc14658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13701_WPSOffice_Level2"/>
      <w:bookmarkStart w:id="44" w:name="_Toc21415_WPSOffice_Level2"/>
      <w:bookmarkStart w:id="45" w:name="_Toc23493_WPSOffice_Level2"/>
      <w:bookmarkStart w:id="46" w:name="_Toc7988_WPSOffice_Level2"/>
      <w:bookmarkStart w:id="47" w:name="_Toc4265_WPSOffice_Level2"/>
      <w:bookmarkStart w:id="48" w:name="_Toc2359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color w:val="auto"/>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17833_WPSOffice_Level2"/>
      <w:bookmarkStart w:id="56" w:name="_Toc17283_WPSOffice_Level2"/>
      <w:bookmarkStart w:id="57" w:name="_Toc5343_WPSOffice_Level2"/>
      <w:bookmarkStart w:id="58" w:name="_Toc25362_WPSOffice_Level2"/>
      <w:bookmarkStart w:id="59" w:name="_Toc8373_WPSOffice_Level2"/>
      <w:bookmarkStart w:id="60" w:name="_Toc2632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1" w:name="_Toc11799_WPSOffice_Level2"/>
      <w:bookmarkStart w:id="62" w:name="_Toc1533_WPSOffice_Level2"/>
      <w:bookmarkStart w:id="63" w:name="_Toc21310_WPSOffice_Level2"/>
      <w:bookmarkStart w:id="64" w:name="_Toc6020_WPSOffice_Level2"/>
      <w:bookmarkStart w:id="65" w:name="_Toc5594_WPSOffice_Level2"/>
      <w:bookmarkStart w:id="66" w:name="_Toc13345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7" w:name="_Toc1820_WPSOffice_Level2"/>
      <w:bookmarkStart w:id="68" w:name="_Toc19961_WPSOffice_Level2"/>
      <w:bookmarkStart w:id="69" w:name="_Toc9377_WPSOffice_Level2"/>
      <w:bookmarkStart w:id="70" w:name="_Toc29886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1" w:name="_Toc16686_WPSOffice_Level1"/>
      <w:bookmarkStart w:id="72" w:name="_Toc29683_WPSOffice_Level1"/>
      <w:bookmarkStart w:id="73" w:name="_Toc28629_WPSOffice_Level1"/>
      <w:bookmarkStart w:id="74" w:name="_Toc27590_WPSOffice_Level1"/>
      <w:bookmarkStart w:id="75" w:name="_Toc31264_WPSOffice_Level1"/>
      <w:bookmarkStart w:id="76" w:name="_Toc4402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13,788.31</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13,788.31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688.54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其他收入增加，即根据单位建设进度及实际工作需要，增加了市财政对基建项目进度款及聘用制法官助理的经费拨付</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9,975.6</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3,812.71</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基建并账项目、历史遗留的挂账项目及项目拨款结转</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13.12</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因工作需要，2024年增加了财政拨款</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9,912.03</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3,876.29</w:t>
      </w:r>
      <w:r>
        <w:rPr>
          <w:rFonts w:hint="eastAsia" w:ascii="仿宋_GB2312" w:hAnsi="ˎ̥" w:eastAsia="仿宋_GB2312"/>
          <w:color w:val="auto"/>
          <w:sz w:val="32"/>
          <w:szCs w:val="32"/>
        </w:rPr>
        <w:t>万元，主要是基建并账项目、历史遗留的挂账项目及项目拨款结转，较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64.32</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由于</w:t>
      </w:r>
      <w:r>
        <w:rPr>
          <w:rFonts w:hint="eastAsia" w:ascii="仿宋_GB2312" w:hAnsi="ˎ̥" w:eastAsia="仿宋_GB2312"/>
          <w:color w:val="auto"/>
          <w:sz w:val="32"/>
          <w:szCs w:val="32"/>
          <w:lang w:val="en-US" w:eastAsia="zh-CN"/>
        </w:rPr>
        <w:t>办案工作需要，2024年增加的聘用制法官助理经费拨款剩余，该项剩余资金结转至下一年支出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9,975.6</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87.3</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万元；其他收入</w:t>
      </w:r>
      <w:r>
        <w:rPr>
          <w:rFonts w:hint="default" w:ascii="仿宋_GB2312" w:hAnsi="ˎ̥" w:eastAsia="仿宋_GB2312"/>
          <w:color w:val="auto"/>
          <w:sz w:val="32"/>
          <w:szCs w:val="32"/>
          <w:lang w:val="en-US"/>
        </w:rPr>
        <w:t>1,263.38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12.7</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9,912.03</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6,238.71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62.9</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3,673.32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37.1</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w:t>
      </w:r>
      <w:r>
        <w:rPr>
          <w:rFonts w:hint="eastAsia" w:ascii="仿宋_GB2312" w:hAnsi="仿宋" w:eastAsia="仿宋_GB2312"/>
          <w:color w:val="auto"/>
          <w:sz w:val="32"/>
          <w:szCs w:val="32"/>
          <w:lang w:val="en-US" w:eastAsia="zh-CN"/>
        </w:rPr>
        <w:t>厉行节约、社保扣缴变化及2024年度职业年金记时减少等原因</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w:t>
      </w:r>
      <w:r>
        <w:rPr>
          <w:rFonts w:hint="eastAsia" w:ascii="仿宋_GB2312" w:hAnsi="仿宋" w:eastAsia="仿宋_GB2312"/>
          <w:color w:val="auto"/>
          <w:sz w:val="32"/>
          <w:szCs w:val="32"/>
          <w:lang w:val="en-US" w:eastAsia="zh-CN"/>
        </w:rPr>
        <w:t>厉行节约、</w:t>
      </w:r>
      <w:r>
        <w:rPr>
          <w:rFonts w:hint="eastAsia" w:ascii="仿宋_GB2312" w:hAnsi="ˎ̥" w:eastAsia="仿宋_GB2312"/>
          <w:color w:val="auto"/>
          <w:sz w:val="32"/>
          <w:szCs w:val="32"/>
          <w:lang w:val="en-US" w:eastAsia="zh-CN"/>
        </w:rPr>
        <w:t>社保支出及需记实职业年金支出减少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2,707.29</w:t>
      </w:r>
      <w:r>
        <w:rPr>
          <w:rFonts w:hint="eastAsia" w:ascii="仿宋_GB2312" w:hAnsi="ˎ̥" w:eastAsia="仿宋_GB2312"/>
          <w:color w:val="auto"/>
          <w:sz w:val="32"/>
          <w:szCs w:val="32"/>
        </w:rPr>
        <w:t>万元，主要是主要是</w:t>
      </w:r>
      <w:r>
        <w:rPr>
          <w:rFonts w:hint="eastAsia" w:ascii="仿宋_GB2312" w:hAnsi="ˎ̥" w:eastAsia="仿宋_GB2312"/>
          <w:color w:val="auto"/>
          <w:sz w:val="32"/>
          <w:szCs w:val="32"/>
          <w:lang w:val="en-US" w:eastAsia="zh-CN"/>
        </w:rPr>
        <w:t>基建并账项目及历史遗留的挂账项目</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2,707.29</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基建并账项目及历史遗留的挂账项目</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我院正进行账务梳理工作对账务进行梳理核对</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23005_WPSOffice_Level2"/>
      <w:bookmarkStart w:id="78" w:name="_Toc17398_WPSOffice_Level2"/>
      <w:bookmarkStart w:id="79" w:name="_Toc21737_WPSOffice_Level2"/>
      <w:bookmarkStart w:id="80" w:name="_Toc9989_WPSOffice_Level2"/>
      <w:bookmarkStart w:id="81" w:name="_Toc13694_WPSOffice_Level2"/>
      <w:bookmarkStart w:id="82" w:name="_Toc19665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eastAsia" w:ascii="仿宋_GB2312" w:hAnsi="ˎ̥" w:eastAsia="仿宋_GB2312"/>
          <w:color w:val="auto"/>
          <w:sz w:val="32"/>
          <w:szCs w:val="32"/>
          <w:lang w:val="en-US" w:eastAsia="zh-CN"/>
        </w:rPr>
        <w:t>347.12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%，主要原因是</w:t>
      </w:r>
      <w:r>
        <w:rPr>
          <w:rFonts w:hint="eastAsia" w:ascii="仿宋_GB2312" w:hAnsi="仿宋" w:eastAsia="仿宋_GB2312"/>
          <w:color w:val="auto"/>
          <w:sz w:val="32"/>
          <w:szCs w:val="32"/>
          <w:lang w:val="en-US" w:eastAsia="zh-CN"/>
        </w:rPr>
        <w:t>厉行节约、</w:t>
      </w:r>
      <w:r>
        <w:rPr>
          <w:rFonts w:hint="eastAsia" w:ascii="仿宋_GB2312" w:hAnsi="ˎ̥" w:eastAsia="仿宋_GB2312"/>
          <w:color w:val="auto"/>
          <w:sz w:val="32"/>
          <w:szCs w:val="32"/>
          <w:lang w:val="en-US" w:eastAsia="zh-CN"/>
        </w:rPr>
        <w:t>社保支出及需记实职业年金支出减少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19075_WPSOffice_Level2"/>
      <w:bookmarkStart w:id="84" w:name="_Toc23864_WPSOffice_Level2"/>
      <w:bookmarkStart w:id="85" w:name="_Toc19535_WPSOffice_Level2"/>
      <w:bookmarkStart w:id="86" w:name="_Toc18793_WPSOffice_Level2"/>
      <w:bookmarkStart w:id="87" w:name="_Toc2711_WPSOffice_Level2"/>
      <w:bookmarkStart w:id="88" w:name="_Toc27767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公共安全支出（类）</w:t>
      </w:r>
      <w:r>
        <w:rPr>
          <w:rFonts w:hint="eastAsia" w:ascii="仿宋_GB2312" w:hAnsi="ˎ̥" w:eastAsia="仿宋_GB2312"/>
          <w:color w:val="auto"/>
          <w:sz w:val="32"/>
          <w:szCs w:val="32"/>
        </w:rPr>
        <w:t>支出7,320.54万元，占</w:t>
      </w:r>
      <w:r>
        <w:rPr>
          <w:rFonts w:hint="eastAsia" w:ascii="仿宋_GB2312" w:hAnsi="ˎ̥" w:eastAsia="仿宋_GB2312"/>
          <w:color w:val="auto"/>
          <w:sz w:val="32"/>
          <w:szCs w:val="32"/>
          <w:lang w:val="en-US" w:eastAsia="zh-CN"/>
        </w:rPr>
        <w:t>84</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667.99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7.7</w:t>
      </w:r>
      <w:r>
        <w:rPr>
          <w:rFonts w:hint="eastAsia" w:ascii="仿宋_GB2312" w:hAnsi="ˎ̥" w:eastAsia="仿宋_GB2312"/>
          <w:color w:val="auto"/>
          <w:sz w:val="32"/>
          <w:szCs w:val="32"/>
        </w:rPr>
        <w:t>%；</w:t>
      </w:r>
      <w:r>
        <w:rPr>
          <w:rFonts w:hint="eastAsia" w:ascii="仿宋_GB2312" w:hAnsi="ˎ̥" w:eastAsia="仿宋_GB2312"/>
          <w:b/>
          <w:bCs/>
          <w:color w:val="auto"/>
          <w:sz w:val="32"/>
          <w:szCs w:val="32"/>
        </w:rPr>
        <w:t>卫生健康支出（类）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392.82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4.5</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住房保障支出</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330.87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3.8</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2318_WPSOffice_Level2"/>
      <w:bookmarkStart w:id="90" w:name="_Toc25136_WPSOffice_Level2"/>
      <w:bookmarkStart w:id="91" w:name="_Toc15415_WPSOffice_Level2"/>
      <w:bookmarkStart w:id="92" w:name="_Toc21701_WPSOffice_Level2"/>
      <w:bookmarkStart w:id="93" w:name="_Toc9502_WPSOffice_Level2"/>
      <w:bookmarkStart w:id="94" w:name="_Toc29364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8,</w:t>
      </w:r>
      <w:r>
        <w:rPr>
          <w:rFonts w:hint="eastAsia" w:ascii="仿宋_GB2312" w:hAnsi="ˎ̥" w:eastAsia="仿宋_GB2312"/>
          <w:color w:val="auto"/>
          <w:sz w:val="32"/>
          <w:szCs w:val="32"/>
          <w:lang w:val="en-US" w:eastAsia="zh-CN"/>
        </w:rPr>
        <w:t>339.89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8,712.23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104.4</w:t>
      </w:r>
      <w:r>
        <w:rPr>
          <w:rFonts w:hint="eastAsia" w:ascii="仿宋_GB2312" w:hAnsi="ˎ̥" w:eastAsia="仿宋_GB2312"/>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4908.83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4847.03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98.7</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工资经费有所结余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（款）一般行政管理事务（项）。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369.72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367.41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99.3</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剩余</w:t>
      </w:r>
      <w:r>
        <w:rPr>
          <w:rFonts w:hint="eastAsia" w:ascii="仿宋_GB2312" w:hAnsi="ˎ̥" w:eastAsia="仿宋_GB2312"/>
          <w:color w:val="auto"/>
          <w:sz w:val="32"/>
          <w:szCs w:val="32"/>
          <w:lang w:val="en-US" w:eastAsia="zh-CN"/>
        </w:rPr>
        <w:t>2.31万元，属于</w:t>
      </w:r>
      <w:r>
        <w:rPr>
          <w:rFonts w:hint="eastAsia" w:ascii="仿宋_GB2312" w:hAnsi="ˎ̥" w:eastAsia="仿宋_GB2312"/>
          <w:color w:val="auto"/>
          <w:sz w:val="32"/>
          <w:szCs w:val="32"/>
          <w:lang w:eastAsia="zh-CN"/>
        </w:rPr>
        <w:t>资金使用正常剩余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案件审判</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1056.09</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1360.03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128.7</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eastAsia="zh-CN"/>
        </w:rPr>
        <w:t>由于办案业务需要，年中增加下达办案经费。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b/>
          <w:color w:val="auto"/>
          <w:sz w:val="32"/>
          <w:szCs w:val="32"/>
          <w:lang w:val="en-US" w:eastAsia="zh-CN"/>
        </w:rPr>
        <w:t>法院</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其他法院支出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1073.67</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746.07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69.4</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主要为聘用制法官助理费用结转以及由于</w:t>
      </w:r>
      <w:r>
        <w:rPr>
          <w:rFonts w:hint="eastAsia" w:ascii="仿宋_GB2312" w:hAnsi="ˎ̥" w:eastAsia="仿宋_GB2312"/>
          <w:color w:val="auto"/>
          <w:sz w:val="32"/>
          <w:szCs w:val="32"/>
          <w:lang w:val="en-US" w:eastAsia="zh-CN"/>
        </w:rPr>
        <w:t>当年度无法完成支付流程结转至下一年支出的办案装备费。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（类）行政事业单位养老支出（款）</w:t>
      </w:r>
      <w:r>
        <w:rPr>
          <w:rFonts w:hint="eastAsia" w:ascii="仿宋_GB2312" w:hAnsi="ˎ̥" w:eastAsia="仿宋_GB2312"/>
          <w:b/>
          <w:color w:val="auto"/>
          <w:sz w:val="32"/>
          <w:szCs w:val="32"/>
          <w:lang w:val="en-US" w:eastAsia="zh-CN"/>
        </w:rPr>
        <w:t>机关事业单位基本养老保险缴费支出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309.83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294.37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95</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由于预算取数参考以前年度工资数据测算，无法精准预测，属于正常预算误差</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社会保障和就业支出</w:t>
      </w:r>
      <w:r>
        <w:rPr>
          <w:rFonts w:hint="eastAsia" w:ascii="仿宋_GB2312" w:hAnsi="ˎ̥" w:eastAsia="仿宋_GB2312"/>
          <w:b/>
          <w:color w:val="auto"/>
          <w:sz w:val="32"/>
          <w:szCs w:val="32"/>
        </w:rPr>
        <w:t>（类）行政事业单位养老支出</w:t>
      </w:r>
      <w:r>
        <w:rPr>
          <w:rFonts w:hint="eastAsia" w:ascii="仿宋_GB2312" w:hAnsi="ˎ̥" w:eastAsia="仿宋_GB2312"/>
          <w:b/>
          <w:color w:val="auto"/>
          <w:sz w:val="32"/>
          <w:szCs w:val="32"/>
          <w:lang w:val="en-US" w:eastAsia="zh-CN"/>
        </w:rPr>
        <w:t>其他法院支出</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机关事业单位职业年金缴费支出</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370.34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370.34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等于</w:t>
      </w:r>
      <w:r>
        <w:rPr>
          <w:rFonts w:hint="eastAsia" w:ascii="仿宋_GB2312" w:hAnsi="ˎ̥" w:eastAsia="仿宋_GB2312"/>
          <w:color w:val="auto"/>
          <w:sz w:val="32"/>
          <w:szCs w:val="32"/>
        </w:rPr>
        <w:t>预算数。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7.社会保障和就业支出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抚恤</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其他优抚支出</w:t>
      </w:r>
      <w:r>
        <w:rPr>
          <w:rFonts w:hint="eastAsia" w:ascii="仿宋_GB2312" w:hAnsi="ˎ̥" w:eastAsia="仿宋_GB2312"/>
          <w:b/>
          <w:color w:val="auto"/>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4.81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67.9</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系统取数偏差，导致预算数取数较多</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（类）行政事业单位医疗（款）</w:t>
      </w:r>
      <w:r>
        <w:rPr>
          <w:rFonts w:hint="eastAsia" w:ascii="仿宋_GB2312" w:hAnsi="ˎ̥" w:eastAsia="仿宋_GB2312"/>
          <w:b/>
          <w:color w:val="auto"/>
          <w:sz w:val="32"/>
          <w:szCs w:val="32"/>
          <w:lang w:val="en-US" w:eastAsia="zh-CN"/>
        </w:rPr>
        <w:t>行政单位医疗</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143.63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123.44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85.9</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由于</w:t>
      </w:r>
      <w:r>
        <w:rPr>
          <w:rFonts w:hint="eastAsia" w:ascii="仿宋_GB2312" w:hAnsi="ˎ̥" w:eastAsia="仿宋_GB2312"/>
          <w:color w:val="auto"/>
          <w:sz w:val="32"/>
          <w:szCs w:val="32"/>
          <w:lang w:val="en-US" w:eastAsia="zh-CN"/>
        </w:rPr>
        <w:t>2024年医疗保险缴费比例降低，故有所结余</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rPr>
        <w:t>（类）行政事业单位医疗（款）</w:t>
      </w:r>
      <w:r>
        <w:rPr>
          <w:rFonts w:hint="eastAsia" w:ascii="仿宋_GB2312" w:hAnsi="ˎ̥" w:eastAsia="仿宋_GB2312"/>
          <w:b/>
          <w:color w:val="auto"/>
          <w:sz w:val="32"/>
          <w:szCs w:val="32"/>
          <w:lang w:val="en-US" w:eastAsia="zh-CN"/>
        </w:rPr>
        <w:t>公务员医疗补助</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269.38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269.38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等于</w:t>
      </w:r>
      <w:r>
        <w:rPr>
          <w:rFonts w:hint="eastAsia" w:ascii="仿宋_GB2312" w:hAnsi="ˎ̥" w:eastAsia="仿宋_GB2312"/>
          <w:color w:val="auto"/>
          <w:sz w:val="32"/>
          <w:szCs w:val="32"/>
        </w:rPr>
        <w:t>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住房保障支出</w:t>
      </w:r>
      <w:r>
        <w:rPr>
          <w:rFonts w:hint="eastAsia" w:ascii="仿宋_GB2312" w:hAnsi="ˎ̥" w:eastAsia="仿宋_GB2312"/>
          <w:b/>
          <w:color w:val="auto"/>
          <w:sz w:val="32"/>
          <w:szCs w:val="32"/>
        </w:rPr>
        <w:t>（类）住房改革支出（款）</w:t>
      </w:r>
      <w:r>
        <w:rPr>
          <w:rFonts w:hint="eastAsia" w:ascii="仿宋_GB2312" w:hAnsi="ˎ̥" w:eastAsia="仿宋_GB2312"/>
          <w:b/>
          <w:color w:val="auto"/>
          <w:sz w:val="32"/>
          <w:szCs w:val="32"/>
          <w:lang w:val="en-US" w:eastAsia="zh-CN"/>
        </w:rPr>
        <w:t>住房公积金</w:t>
      </w:r>
      <w:r>
        <w:rPr>
          <w:rFonts w:hint="eastAsia" w:ascii="仿宋_GB2312" w:hAnsi="ˎ̥" w:eastAsia="仿宋_GB2312"/>
          <w:b/>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277.65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330.87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119.1</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eastAsia="zh-CN"/>
        </w:rPr>
        <w:t>主要由于预算取数参考以前年度工资数据测算，无法精准预测，以及缴费基数变化而产生的差额</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6238.71</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5,380.27</w:t>
      </w:r>
      <w:r>
        <w:rPr>
          <w:rFonts w:hint="eastAsia" w:ascii="仿宋_GB2312" w:hAnsi="ˎ̥" w:eastAsia="仿宋_GB2312"/>
          <w:color w:val="auto"/>
          <w:sz w:val="32"/>
          <w:szCs w:val="32"/>
        </w:rPr>
        <w:t>万元，主要包括：工资福利支出中的基本工资、津贴补贴、奖金、机关事业单位基本养老保险缴费、职业年金缴费、职工基本医疗保险缴费、公务员医疗补助缴费、其他社会保障缴费、住房公积金、医疗费</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其他工资福利支出；对个人和家庭的补助中的生活补助、奖励金</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其他对个人和家庭的补助。公用经费</w:t>
      </w:r>
      <w:r>
        <w:rPr>
          <w:rFonts w:ascii="仿宋_GB2312" w:hAnsi="ˎ̥" w:eastAsia="仿宋_GB2312"/>
          <w:color w:val="auto"/>
          <w:sz w:val="32"/>
          <w:szCs w:val="32"/>
          <w:lang w:val="en-US"/>
        </w:rPr>
        <w:t>858.44</w:t>
      </w:r>
      <w:r>
        <w:rPr>
          <w:rFonts w:hint="eastAsia" w:ascii="仿宋_GB2312" w:hAnsi="ˎ̥" w:eastAsia="仿宋_GB2312"/>
          <w:color w:val="auto"/>
          <w:sz w:val="32"/>
          <w:szCs w:val="32"/>
        </w:rPr>
        <w:t>万元，主要包括：商品和服务支出中的办公费、印刷费、水费、电费、邮电费、物业管理费、差旅费、维修（护）费、租赁费、会议费、培训费、公务接待费、专用材料费、专用燃料费、劳务费、工会经费、公务用车运行维护费、其他交通费用</w:t>
      </w:r>
      <w:r>
        <w:rPr>
          <w:rFonts w:hint="eastAsia" w:ascii="仿宋_GB2312" w:hAnsi="ˎ̥" w:eastAsia="仿宋_GB2312"/>
          <w:color w:val="auto"/>
          <w:sz w:val="32"/>
          <w:szCs w:val="32"/>
          <w:lang w:eastAsia="zh-CN"/>
        </w:rPr>
        <w:t>和</w:t>
      </w:r>
      <w:r>
        <w:rPr>
          <w:rFonts w:hint="eastAsia" w:ascii="仿宋_GB2312" w:hAnsi="ˎ̥" w:eastAsia="仿宋_GB2312"/>
          <w:color w:val="auto"/>
          <w:sz w:val="32"/>
          <w:szCs w:val="32"/>
        </w:rPr>
        <w:t>其他商品和服务支出。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94.2</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57.33</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60.8</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17.22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23</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eastAsia="zh-CN"/>
        </w:rPr>
        <w:t>因工作需要，</w:t>
      </w:r>
      <w:r>
        <w:rPr>
          <w:rFonts w:hint="eastAsia" w:ascii="仿宋_GB2312" w:hAnsi="ˎ̥" w:eastAsia="仿宋_GB2312"/>
          <w:color w:val="auto"/>
          <w:sz w:val="32"/>
          <w:szCs w:val="32"/>
          <w:lang w:val="en-US" w:eastAsia="zh-CN"/>
        </w:rPr>
        <w:t>2023年购置两辆公车导致公车购置费增加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57.15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99.7</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0.18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0.3</w:t>
      </w:r>
      <w:r>
        <w:rPr>
          <w:rFonts w:hint="eastAsia" w:ascii="仿宋_GB2312" w:hAnsi="ˎ̥" w:eastAsia="仿宋_GB2312"/>
          <w:color w:val="auto"/>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57.15</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19.48</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辆，主要用于</w:t>
      </w:r>
      <w:r>
        <w:rPr>
          <w:rFonts w:hint="eastAsia" w:ascii="仿宋_GB2312" w:hAnsi="ˎ̥" w:eastAsia="仿宋_GB2312"/>
          <w:color w:val="auto"/>
          <w:sz w:val="32"/>
          <w:szCs w:val="32"/>
          <w:lang w:eastAsia="zh-CN"/>
        </w:rPr>
        <w:t>购置车载便民法庭车辆，用于移动办案</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37.66</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公务用车的维修维护费、年检检测费、燃料费及保险费等运维支出</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17.05</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完成预算的77</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17.4</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23.4</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因工作需要，</w:t>
      </w:r>
      <w:r>
        <w:rPr>
          <w:rFonts w:hint="eastAsia" w:ascii="仿宋_GB2312" w:hAnsi="ˎ̥" w:eastAsia="仿宋_GB2312"/>
          <w:color w:val="auto"/>
          <w:sz w:val="32"/>
          <w:szCs w:val="32"/>
          <w:lang w:val="en-US" w:eastAsia="zh-CN"/>
        </w:rPr>
        <w:t>2024年购买一辆公车，2023年购买两辆公车</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0.18</w:t>
      </w:r>
      <w:r>
        <w:rPr>
          <w:rFonts w:hint="eastAsia" w:ascii="仿宋_GB2312" w:hAnsi="ˎ̥"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0.18</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rPr>
        <w:t>接待最高法院一行到我院</w:t>
      </w:r>
      <w:r>
        <w:rPr>
          <w:rFonts w:hint="eastAsia" w:ascii="仿宋_GB2312" w:hAnsi="ˎ̥" w:eastAsia="仿宋_GB2312"/>
          <w:color w:val="auto"/>
          <w:sz w:val="32"/>
          <w:szCs w:val="32"/>
          <w:lang w:eastAsia="zh-CN"/>
        </w:rPr>
        <w:t>开展</w:t>
      </w:r>
      <w:r>
        <w:rPr>
          <w:rFonts w:hint="eastAsia" w:ascii="仿宋_GB2312" w:hAnsi="ˎ̥" w:eastAsia="仿宋_GB2312"/>
          <w:color w:val="auto"/>
          <w:sz w:val="32"/>
          <w:szCs w:val="32"/>
        </w:rPr>
        <w:t>司法巡查</w:t>
      </w:r>
      <w:r>
        <w:rPr>
          <w:rFonts w:hint="eastAsia" w:ascii="仿宋_GB2312" w:hAnsi="ˎ̥" w:eastAsia="仿宋_GB2312"/>
          <w:color w:val="auto"/>
          <w:sz w:val="32"/>
          <w:szCs w:val="32"/>
          <w:lang w:eastAsia="zh-CN"/>
        </w:rPr>
        <w:t>工作时的</w:t>
      </w:r>
      <w:r>
        <w:rPr>
          <w:rFonts w:hint="eastAsia" w:ascii="仿宋_GB2312" w:hAnsi="ˎ̥" w:eastAsia="仿宋_GB2312"/>
          <w:color w:val="auto"/>
          <w:sz w:val="32"/>
          <w:szCs w:val="32"/>
        </w:rPr>
        <w:t>工作餐费。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公务接待费支出决算数比预算数减少</w:t>
      </w:r>
      <w:r>
        <w:rPr>
          <w:rFonts w:hint="eastAsia" w:ascii="仿宋_GB2312" w:hAnsi="ˎ̥" w:eastAsia="仿宋_GB2312"/>
          <w:color w:val="auto"/>
          <w:sz w:val="32"/>
          <w:szCs w:val="32"/>
          <w:lang w:val="en-US" w:eastAsia="zh-CN"/>
        </w:rPr>
        <w:t>9.82</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完成预算的1.8</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0.02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厉行节约，公务接待需求减少</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共涉及资金2473.52万元，占一般公共预算项目支出总额的100%</w:t>
      </w:r>
      <w:r>
        <w:rPr>
          <w:rFonts w:hint="eastAsia" w:ascii="仿宋_GB2312" w:eastAsia="仿宋_GB2312"/>
          <w:color w:val="auto"/>
          <w:sz w:val="32"/>
          <w:szCs w:val="32"/>
        </w:rPr>
        <w:t>。</w:t>
      </w:r>
      <w:r>
        <w:rPr>
          <w:rFonts w:hint="eastAsia" w:ascii="仿宋_GB2312" w:eastAsia="仿宋_GB2312"/>
          <w:color w:val="auto"/>
          <w:sz w:val="32"/>
          <w:szCs w:val="32"/>
          <w:lang w:eastAsia="zh-CN"/>
        </w:rPr>
        <w:t>由于我院无</w:t>
      </w:r>
      <w:r>
        <w:rPr>
          <w:rFonts w:hint="eastAsia" w:ascii="仿宋_GB2312" w:eastAsia="仿宋_GB2312"/>
          <w:color w:val="auto"/>
          <w:sz w:val="32"/>
          <w:szCs w:val="32"/>
          <w:lang w:bidi="ar"/>
        </w:rPr>
        <w:t>政府性基金预算</w:t>
      </w:r>
      <w:r>
        <w:rPr>
          <w:rFonts w:hint="eastAsia" w:ascii="仿宋_GB2312" w:eastAsia="仿宋_GB2312"/>
          <w:color w:val="auto"/>
          <w:sz w:val="32"/>
          <w:szCs w:val="32"/>
          <w:lang w:eastAsia="zh-CN" w:bidi="ar"/>
        </w:rPr>
        <w:t>及</w:t>
      </w:r>
      <w:r>
        <w:rPr>
          <w:rFonts w:hint="eastAsia" w:ascii="仿宋_GB2312" w:eastAsia="仿宋_GB2312"/>
          <w:color w:val="auto"/>
          <w:sz w:val="32"/>
          <w:szCs w:val="32"/>
          <w:lang w:bidi="ar"/>
        </w:rPr>
        <w:t>国有资本经营预算</w:t>
      </w:r>
      <w:r>
        <w:rPr>
          <w:rFonts w:hint="eastAsia" w:ascii="仿宋_GB2312" w:eastAsia="仿宋_GB2312"/>
          <w:color w:val="auto"/>
          <w:sz w:val="32"/>
          <w:szCs w:val="32"/>
          <w:lang w:eastAsia="zh-CN" w:bidi="ar"/>
        </w:rPr>
        <w:t>，故</w:t>
      </w:r>
      <w:r>
        <w:rPr>
          <w:rFonts w:hint="eastAsia" w:ascii="仿宋_GB2312" w:eastAsia="仿宋_GB2312"/>
          <w:color w:val="auto"/>
          <w:sz w:val="32"/>
          <w:szCs w:val="32"/>
          <w:lang w:eastAsia="zh-CN"/>
        </w:rPr>
        <w:t>未</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年度政府性基金预算</w:t>
      </w:r>
      <w:r>
        <w:rPr>
          <w:rFonts w:hint="eastAsia" w:ascii="仿宋_GB2312" w:eastAsia="仿宋_GB2312"/>
          <w:color w:val="auto"/>
          <w:sz w:val="32"/>
          <w:szCs w:val="32"/>
          <w:lang w:eastAsia="zh-CN" w:bidi="ar"/>
        </w:rPr>
        <w:t>及</w:t>
      </w:r>
      <w:r>
        <w:rPr>
          <w:rFonts w:hint="eastAsia" w:ascii="仿宋_GB2312" w:eastAsia="仿宋_GB2312"/>
          <w:color w:val="auto"/>
          <w:sz w:val="32"/>
          <w:szCs w:val="32"/>
          <w:lang w:bidi="ar"/>
        </w:rPr>
        <w:t>国有资本经营预算项目开展绩效自评。</w:t>
      </w:r>
    </w:p>
    <w:p>
      <w:pPr>
        <w:spacing w:before="195" w:line="339" w:lineRule="auto"/>
        <w:ind w:left="54" w:right="80" w:firstLine="649"/>
        <w:rPr>
          <w:rFonts w:hint="eastAsia" w:ascii="仿宋_GB2312" w:eastAsia="仿宋_GB2312"/>
          <w:color w:val="auto"/>
          <w:sz w:val="32"/>
          <w:szCs w:val="32"/>
          <w:lang w:val="en-US" w:eastAsia="zh-CN" w:bidi="ar"/>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执法办案业务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1360.03</w:t>
      </w:r>
      <w:r>
        <w:rPr>
          <w:rFonts w:hint="eastAsia" w:ascii="仿宋_GB2312" w:eastAsia="仿宋_GB2312"/>
          <w:color w:val="auto"/>
          <w:sz w:val="32"/>
          <w:szCs w:val="32"/>
          <w:lang w:bidi="ar"/>
        </w:rPr>
        <w:t>万元</w:t>
      </w:r>
      <w:r>
        <w:rPr>
          <w:rFonts w:hint="eastAsia" w:ascii="仿宋_GB2312" w:eastAsia="仿宋_GB2312"/>
          <w:color w:val="auto"/>
          <w:sz w:val="32"/>
          <w:szCs w:val="32"/>
          <w:lang w:eastAsia="zh-CN" w:bidi="ar"/>
        </w:rPr>
        <w:t>，</w:t>
      </w:r>
      <w:r>
        <w:rPr>
          <w:rFonts w:hint="eastAsia" w:ascii="仿宋_GB2312" w:eastAsia="仿宋_GB2312"/>
          <w:color w:val="auto"/>
          <w:sz w:val="32"/>
          <w:szCs w:val="32"/>
          <w:lang w:bidi="ar"/>
        </w:rPr>
        <w:t>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_GB2312" w:eastAsia="仿宋_GB2312"/>
          <w:color w:val="auto"/>
          <w:sz w:val="32"/>
          <w:szCs w:val="32"/>
          <w:lang w:val="en-US" w:eastAsia="zh-CN"/>
        </w:rPr>
        <w:t>该项目绩效部门评价为优，项目预算执行情况为99.5%，该项目皆用于案件审判执行支出，</w:t>
      </w:r>
      <w:r>
        <w:rPr>
          <w:rFonts w:hint="eastAsia" w:ascii="仿宋_GB2312" w:eastAsia="仿宋_GB2312"/>
          <w:color w:val="auto"/>
          <w:sz w:val="32"/>
          <w:szCs w:val="32"/>
          <w:lang w:val="en-US" w:eastAsia="zh-CN" w:bidi="ar"/>
        </w:rPr>
        <w:t>达到了为法院审判执行工作提供良好资金保障的项目绩效总目标，同时也达到了预订的绩效指标值。项目总体运行情况良好，我院根据财政制度支出项目资金，单位做好内控管理，依法依规支出资金，为案件审判执行提供了资金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我部门在部门决算中反映</w:t>
      </w:r>
      <w:r>
        <w:rPr>
          <w:rFonts w:hint="eastAsia" w:ascii="仿宋_GB2312" w:eastAsia="仿宋_GB2312"/>
          <w:color w:val="auto"/>
          <w:sz w:val="32"/>
          <w:szCs w:val="32"/>
          <w:lang w:val="en-US" w:eastAsia="zh-CN"/>
        </w:rPr>
        <w:t>综合运行事务</w:t>
      </w:r>
      <w:r>
        <w:rPr>
          <w:rFonts w:hint="eastAsia" w:ascii="仿宋_GB2312" w:eastAsia="仿宋_GB2312"/>
          <w:color w:val="auto"/>
          <w:sz w:val="32"/>
          <w:szCs w:val="32"/>
        </w:rPr>
        <w:t>、</w:t>
      </w:r>
      <w:r>
        <w:rPr>
          <w:rFonts w:hint="default" w:ascii="仿宋_GB2312" w:eastAsia="仿宋_GB2312"/>
          <w:color w:val="auto"/>
          <w:sz w:val="32"/>
          <w:szCs w:val="32"/>
          <w:lang w:val="en-US"/>
        </w:rPr>
        <w:t>审判法庭大楼配套工程项目</w:t>
      </w:r>
      <w:r>
        <w:rPr>
          <w:rFonts w:hint="eastAsia" w:ascii="仿宋_GB2312" w:eastAsia="仿宋_GB2312"/>
          <w:color w:val="auto"/>
          <w:sz w:val="32"/>
          <w:szCs w:val="32"/>
          <w:lang w:val="en-US" w:eastAsia="zh-CN"/>
        </w:rPr>
        <w:t>及执法办案业务</w:t>
      </w:r>
      <w:r>
        <w:rPr>
          <w:rFonts w:hint="eastAsia" w:ascii="仿宋_GB2312" w:eastAsia="仿宋_GB2312"/>
          <w:color w:val="auto"/>
          <w:sz w:val="32"/>
          <w:szCs w:val="32"/>
          <w:lang w:eastAsia="zh-CN"/>
        </w:rPr>
        <w:t>三</w:t>
      </w:r>
      <w:r>
        <w:rPr>
          <w:rFonts w:hint="eastAsia" w:ascii="仿宋_GB2312" w:eastAsia="仿宋_GB2312"/>
          <w:color w:val="auto"/>
          <w:sz w:val="32"/>
          <w:szCs w:val="32"/>
        </w:rPr>
        <w:t>个项目绩效自评结果。</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（1）综合运行事务</w:t>
      </w:r>
      <w:r>
        <w:rPr>
          <w:rFonts w:hint="eastAsia" w:ascii="仿宋_GB2312" w:eastAsia="仿宋_GB2312"/>
          <w:color w:val="auto"/>
          <w:sz w:val="32"/>
          <w:szCs w:val="32"/>
        </w:rPr>
        <w:t>项目绩效自评表：</w:t>
      </w:r>
    </w:p>
    <w:tbl>
      <w:tblPr>
        <w:tblStyle w:val="11"/>
        <w:tblW w:w="9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6"/>
        <w:gridCol w:w="657"/>
        <w:gridCol w:w="1344"/>
        <w:gridCol w:w="498"/>
        <w:gridCol w:w="687"/>
        <w:gridCol w:w="776"/>
        <w:gridCol w:w="622"/>
        <w:gridCol w:w="770"/>
        <w:gridCol w:w="546"/>
        <w:gridCol w:w="791"/>
        <w:gridCol w:w="609"/>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9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综合运行事务项目支出绩效自评表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7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3,697,200.00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3,697,200.00</w:t>
            </w:r>
          </w:p>
        </w:tc>
        <w:tc>
          <w:tcPr>
            <w:tcW w:w="27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3,674,131.69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99.38</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3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60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38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保障单位办公等运转支出，保障单位审判执行任务顺利开展。</w:t>
            </w:r>
          </w:p>
        </w:tc>
        <w:tc>
          <w:tcPr>
            <w:tcW w:w="60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足额支付人员工资</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月</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协助结案率</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91.25</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65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99.94</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(2)综合运行事务</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99.94</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369.72</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367.41</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99.3</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该项目已</w:t>
      </w:r>
      <w:r>
        <w:rPr>
          <w:rFonts w:hint="eastAsia" w:ascii="仿宋_GB2312" w:eastAsia="仿宋_GB2312" w:cs="Times New Roman"/>
          <w:b w:val="0"/>
          <w:bCs w:val="0"/>
          <w:color w:val="auto"/>
          <w:kern w:val="2"/>
          <w:sz w:val="32"/>
          <w:szCs w:val="32"/>
          <w:lang w:val="en-US" w:eastAsia="zh-CN" w:bidi="ar-SA"/>
        </w:rPr>
        <w:t>足额支付人员工资12个月，完成了绩效目标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eastAsia="仿宋_GB2312"/>
          <w:color w:val="auto"/>
          <w:sz w:val="32"/>
          <w:szCs w:val="32"/>
          <w:lang w:eastAsia="zh-CN"/>
        </w:rPr>
        <w:t>已</w:t>
      </w:r>
      <w:r>
        <w:rPr>
          <w:rFonts w:hint="eastAsia" w:ascii="仿宋_GB2312" w:eastAsia="仿宋_GB2312"/>
          <w:color w:val="auto"/>
          <w:sz w:val="32"/>
          <w:szCs w:val="32"/>
        </w:rPr>
        <w:t>协助结案率</w:t>
      </w:r>
      <w:r>
        <w:rPr>
          <w:rFonts w:hint="eastAsia" w:ascii="仿宋_GB2312" w:eastAsia="仿宋_GB2312"/>
          <w:color w:val="auto"/>
          <w:sz w:val="32"/>
          <w:szCs w:val="32"/>
          <w:lang w:eastAsia="zh-CN"/>
        </w:rPr>
        <w:t>达到</w:t>
      </w:r>
      <w:r>
        <w:rPr>
          <w:rFonts w:hint="eastAsia" w:ascii="仿宋_GB2312" w:eastAsia="仿宋_GB2312"/>
          <w:color w:val="auto"/>
          <w:sz w:val="32"/>
          <w:szCs w:val="32"/>
        </w:rPr>
        <w:t>91.25%</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。发现的主要问题及原因：项目支出进度序时性及绩效目标明确性仍不足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主要由于支出项目需办理相关手续花费一定时间、项目开展时间有延迟以及绩效目标的设定学习不够透彻</w:t>
      </w:r>
      <w:r>
        <w:rPr>
          <w:rFonts w:hint="eastAsia" w:ascii="仿宋_GB2312" w:eastAsia="仿宋_GB2312"/>
          <w:color w:val="auto"/>
          <w:sz w:val="32"/>
          <w:szCs w:val="32"/>
        </w:rPr>
        <w:t>。下一步改进措施：后续我院将在实际预算支出中将更加严格地跟踪项目支出进度，能序时支付的支出将按时支出，需根据事项进度付款的支出将及时跟进项目进展情况，及时付款。并将不断提高项目绩效目标设置质量，制定更加明确直观的绩效目标，以更好地衡量项目绩效完成值，为后续工作提供参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eastAsia="仿宋_GB2312"/>
          <w:color w:val="auto"/>
          <w:sz w:val="32"/>
          <w:szCs w:val="32"/>
          <w:lang w:val="en-US"/>
        </w:rPr>
        <w:t>审判法庭大楼配套工程项目</w:t>
      </w:r>
      <w:r>
        <w:rPr>
          <w:rFonts w:hint="eastAsia" w:ascii="仿宋_GB2312" w:eastAsia="仿宋_GB2312"/>
          <w:color w:val="auto"/>
          <w:sz w:val="32"/>
          <w:szCs w:val="32"/>
        </w:rPr>
        <w:t>绩效自评表：</w:t>
      </w:r>
    </w:p>
    <w:tbl>
      <w:tblPr>
        <w:tblStyle w:val="11"/>
        <w:tblW w:w="9736"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9"/>
        <w:gridCol w:w="735"/>
        <w:gridCol w:w="1218"/>
        <w:gridCol w:w="693"/>
        <w:gridCol w:w="762"/>
        <w:gridCol w:w="644"/>
        <w:gridCol w:w="697"/>
        <w:gridCol w:w="615"/>
        <w:gridCol w:w="606"/>
        <w:gridCol w:w="658"/>
        <w:gridCol w:w="63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trPr>
        <w:tc>
          <w:tcPr>
            <w:tcW w:w="973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7,490,684.91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7,490,684.91</w:t>
            </w:r>
          </w:p>
        </w:tc>
        <w:tc>
          <w:tcPr>
            <w:tcW w:w="2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7,286,976.17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97.28</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40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56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40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为了我院审判大楼正常使用</w:t>
            </w:r>
          </w:p>
        </w:tc>
        <w:tc>
          <w:tcPr>
            <w:tcW w:w="56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建成面积</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平方米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8500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项目受益人数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auto"/>
                <w:sz w:val="22"/>
                <w:szCs w:val="22"/>
                <w:u w:val="none"/>
                <w:lang w:val="en-US"/>
              </w:rPr>
            </w:pPr>
            <w:r>
              <w:rPr>
                <w:rFonts w:hint="eastAsia" w:ascii="等线" w:hAnsi="等线" w:eastAsia="等线" w:cs="等线"/>
                <w:i w:val="0"/>
                <w:color w:val="auto"/>
                <w:kern w:val="0"/>
                <w:sz w:val="22"/>
                <w:szCs w:val="22"/>
                <w:u w:val="none"/>
                <w:lang w:val="en-US" w:eastAsia="zh-CN" w:bidi="ar"/>
              </w:rPr>
              <w:t>300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40</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rPr>
        <w:tc>
          <w:tcPr>
            <w:tcW w:w="66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99.73</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default" w:ascii="仿宋_GB2312" w:eastAsia="仿宋_GB2312"/>
          <w:color w:val="auto"/>
          <w:sz w:val="32"/>
          <w:szCs w:val="32"/>
          <w:lang w:val="en-US"/>
        </w:rPr>
        <w:t>审判法庭大楼配套工程</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99.73</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749.8</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749.8</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该项目建成总面积约8500㎡</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cs="Times New Roman"/>
          <w:b w:val="0"/>
          <w:bCs w:val="0"/>
          <w:color w:val="auto"/>
          <w:kern w:val="2"/>
          <w:sz w:val="32"/>
          <w:szCs w:val="32"/>
          <w:lang w:val="en-US" w:eastAsia="zh-CN" w:bidi="ar-SA"/>
        </w:rPr>
        <w:t>受益人数约376人</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。发现的主要问题及原因：绩效目标设置的全面性及明确性仍不足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主要由于绩效目标的设定学习不够透彻</w:t>
      </w:r>
      <w:r>
        <w:rPr>
          <w:rFonts w:hint="eastAsia" w:ascii="仿宋_GB2312" w:eastAsia="仿宋_GB2312"/>
          <w:color w:val="auto"/>
          <w:sz w:val="32"/>
          <w:szCs w:val="32"/>
        </w:rPr>
        <w:t>。下一步改进措施：后续我院将根据实际工作需要，不断优化项目绩效目标，使项目绩效目标更全面体现项目预期目标，制定更加明确直观的绩效目标，以更好地测评出预算项目使用绩效。</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（1）执法办案</w:t>
      </w:r>
      <w:r>
        <w:rPr>
          <w:rFonts w:hint="default" w:ascii="仿宋_GB2312" w:eastAsia="仿宋_GB2312"/>
          <w:color w:val="auto"/>
          <w:sz w:val="32"/>
          <w:szCs w:val="32"/>
          <w:lang w:val="en-US"/>
        </w:rPr>
        <w:t>项目</w:t>
      </w:r>
      <w:r>
        <w:rPr>
          <w:rFonts w:hint="eastAsia" w:ascii="仿宋_GB2312" w:eastAsia="仿宋_GB2312"/>
          <w:color w:val="auto"/>
          <w:sz w:val="32"/>
          <w:szCs w:val="32"/>
        </w:rPr>
        <w:t>绩效自评表：</w:t>
      </w:r>
    </w:p>
    <w:tbl>
      <w:tblPr>
        <w:tblStyle w:val="11"/>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1"/>
        <w:gridCol w:w="501"/>
        <w:gridCol w:w="1334"/>
        <w:gridCol w:w="585"/>
        <w:gridCol w:w="804"/>
        <w:gridCol w:w="842"/>
        <w:gridCol w:w="481"/>
        <w:gridCol w:w="849"/>
        <w:gridCol w:w="768"/>
        <w:gridCol w:w="658"/>
        <w:gridCol w:w="630"/>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88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auto"/>
                <w:sz w:val="40"/>
                <w:szCs w:val="40"/>
                <w:u w:val="none"/>
              </w:rPr>
            </w:pPr>
            <w:r>
              <w:rPr>
                <w:rFonts w:hint="eastAsia" w:ascii="等线" w:hAnsi="等线" w:eastAsia="等线" w:cs="等线"/>
                <w:b/>
                <w:i w:val="0"/>
                <w:color w:val="auto"/>
                <w:kern w:val="0"/>
                <w:sz w:val="40"/>
                <w:szCs w:val="40"/>
                <w:u w:val="none"/>
                <w:lang w:val="en-US" w:eastAsia="zh-CN" w:bidi="ar"/>
              </w:rPr>
              <w:t xml:space="preserve">执法办案业务项目支出绩效自评表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资金(元)</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年初预算数</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全年预算数</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执行率（%）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资金：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10,560,909.32</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13,655,643.32</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13,600,299.32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 xml:space="preserve">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99.59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w:t>
            </w:r>
          </w:p>
        </w:tc>
        <w:tc>
          <w:tcPr>
            <w:tcW w:w="51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8" w:hRule="atLeast"/>
        </w:trPr>
        <w:tc>
          <w:tcPr>
            <w:tcW w:w="3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为法院审判执行工作服务，提供良好资金保障。</w:t>
            </w:r>
          </w:p>
        </w:tc>
        <w:tc>
          <w:tcPr>
            <w:tcW w:w="51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一级指标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二级指标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指标性质</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年度指标值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度量单位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实际完成值</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完成率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得分</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auto"/>
                <w:sz w:val="24"/>
                <w:szCs w:val="24"/>
                <w:u w:val="none"/>
              </w:rPr>
            </w:pPr>
            <w:r>
              <w:rPr>
                <w:rFonts w:hint="eastAsia" w:ascii="等线" w:hAnsi="等线" w:eastAsia="等线" w:cs="等线"/>
                <w:b/>
                <w:i w:val="0"/>
                <w:color w:val="auto"/>
                <w:kern w:val="0"/>
                <w:sz w:val="24"/>
                <w:szCs w:val="24"/>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案卷扫描页数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1250000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3090745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产出指标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陪审员补助支持案件数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5000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5100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效益指标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社会效益指标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结案率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80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91.25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rPr>
        <w:tc>
          <w:tcPr>
            <w:tcW w:w="66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99.96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auto"/>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（2）执法办案</w:t>
      </w:r>
      <w:r>
        <w:rPr>
          <w:rFonts w:hint="eastAsia" w:ascii="仿宋_GB2312" w:eastAsia="仿宋_GB2312"/>
          <w:color w:val="auto"/>
          <w:sz w:val="32"/>
          <w:szCs w:val="32"/>
        </w:rPr>
        <w:t>项目绩效自评报告：根据年初设定的绩效目标，项目绩效自评得分为</w:t>
      </w:r>
      <w:r>
        <w:rPr>
          <w:rFonts w:hint="eastAsia" w:ascii="仿宋_GB2312" w:eastAsia="仿宋_GB2312"/>
          <w:color w:val="auto"/>
          <w:sz w:val="32"/>
          <w:szCs w:val="32"/>
          <w:lang w:val="en-US" w:eastAsia="zh-CN"/>
        </w:rPr>
        <w:t>99.96</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1365.56</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1360.02</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99.5</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该项目案卷扫描页数3090745页</w:t>
      </w:r>
      <w:r>
        <w:rPr>
          <w:rFonts w:hint="eastAsia" w:ascii="仿宋_GB2312" w:eastAsia="仿宋_GB2312" w:cs="Times New Roman"/>
          <w:b w:val="0"/>
          <w:bCs w:val="0"/>
          <w:color w:val="auto"/>
          <w:kern w:val="2"/>
          <w:sz w:val="32"/>
          <w:szCs w:val="32"/>
          <w:lang w:val="en-US" w:eastAsia="zh-CN" w:bidi="ar-SA"/>
        </w:rPr>
        <w:t>，完成了绩效目标</w:t>
      </w:r>
      <w:r>
        <w:rPr>
          <w:rFonts w:hint="eastAsia" w:ascii="仿宋_GB2312" w:eastAsia="仿宋_GB2312"/>
          <w:color w:val="auto"/>
          <w:sz w:val="32"/>
          <w:szCs w:val="32"/>
        </w:rPr>
        <w:t>；二是</w:t>
      </w:r>
      <w:r>
        <w:rPr>
          <w:rFonts w:hint="eastAsia" w:ascii="仿宋_GB2312" w:eastAsia="仿宋_GB2312"/>
          <w:color w:val="auto"/>
          <w:sz w:val="32"/>
          <w:szCs w:val="32"/>
          <w:lang w:eastAsia="zh-CN"/>
        </w:rPr>
        <w:t>该</w:t>
      </w:r>
      <w:r>
        <w:rPr>
          <w:rFonts w:hint="eastAsia" w:ascii="仿宋_GB2312" w:eastAsia="仿宋_GB2312"/>
          <w:color w:val="auto"/>
          <w:sz w:val="32"/>
          <w:szCs w:val="32"/>
        </w:rPr>
        <w:t>项目</w:t>
      </w:r>
      <w:r>
        <w:rPr>
          <w:rFonts w:hint="eastAsia" w:ascii="仿宋_GB2312" w:eastAsia="仿宋_GB2312"/>
          <w:color w:val="auto"/>
          <w:sz w:val="32"/>
          <w:szCs w:val="32"/>
          <w:lang w:val="en-US" w:eastAsia="zh-CN"/>
        </w:rPr>
        <w:t>陪审员补助支持案件数5100件，</w:t>
      </w:r>
      <w:r>
        <w:rPr>
          <w:rFonts w:hint="eastAsia" w:ascii="仿宋_GB2312" w:eastAsia="仿宋_GB2312" w:cs="Times New Roman"/>
          <w:b w:val="0"/>
          <w:bCs w:val="0"/>
          <w:color w:val="auto"/>
          <w:kern w:val="2"/>
          <w:sz w:val="32"/>
          <w:szCs w:val="32"/>
          <w:lang w:val="en-US" w:eastAsia="zh-CN" w:bidi="ar-SA"/>
        </w:rPr>
        <w:t>完成了绩效目标；三是结案率91.25%，完成了绩效目标</w:t>
      </w:r>
      <w:r>
        <w:rPr>
          <w:rFonts w:hint="eastAsia" w:ascii="仿宋_GB2312" w:eastAsia="仿宋_GB2312"/>
          <w:color w:val="auto"/>
          <w:sz w:val="32"/>
          <w:szCs w:val="32"/>
        </w:rPr>
        <w:t>。发现的主要问题及原因：项目支出进度序时性及绩效目标科学性仍有欠缺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主要因为支出项目需办理相关手续花费一定时间、项目开展时间有延迟以及绩效目标的设定学习不够透彻</w:t>
      </w:r>
      <w:r>
        <w:rPr>
          <w:rFonts w:hint="eastAsia" w:ascii="仿宋_GB2312" w:eastAsia="仿宋_GB2312"/>
          <w:color w:val="auto"/>
          <w:sz w:val="32"/>
          <w:szCs w:val="32"/>
        </w:rPr>
        <w:t>。下一步改进措施：今后我院将在预算下达后，及时向负责相关支出项目的处室传达预算下达情况，并研究年度支出规划，及时跟进规划执行情况，达到支付条件的项目及时支出。日常干警个人支出项目，将严格报销时限，督促干警及时报销支出。由于该项目是我院办案支出，故绩效目标应更加体现支出产生的办案效果，故今后将优化绩效目标，使之能更加体现项目支出对于案件审判执行的支撑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eastAsia="zh-CN" w:bidi="ar"/>
        </w:rPr>
      </w:pPr>
      <w:r>
        <w:rPr>
          <w:rFonts w:hint="eastAsia" w:ascii="仿宋_GB2312" w:hAnsi="仿宋_GB2312" w:eastAsia="仿宋_GB2312" w:cs="仿宋_GB2312"/>
          <w:color w:val="auto"/>
          <w:kern w:val="0"/>
          <w:sz w:val="32"/>
          <w:szCs w:val="32"/>
          <w:lang w:eastAsia="zh-CN" w:bidi="ar"/>
        </w:rPr>
        <w:t>我院对执法办案</w:t>
      </w:r>
      <w:r>
        <w:rPr>
          <w:rFonts w:hint="eastAsia" w:ascii="仿宋_GB2312" w:hAnsi="仿宋_GB2312" w:eastAsia="仿宋_GB2312" w:cs="仿宋_GB2312"/>
          <w:color w:val="auto"/>
          <w:kern w:val="0"/>
          <w:sz w:val="32"/>
          <w:szCs w:val="32"/>
          <w:lang w:val="en-US" w:eastAsia="zh-CN" w:bidi="ar"/>
        </w:rPr>
        <w:t>业务</w:t>
      </w:r>
      <w:r>
        <w:rPr>
          <w:rFonts w:hint="eastAsia" w:ascii="仿宋_GB2312" w:hAnsi="仿宋_GB2312" w:eastAsia="仿宋_GB2312" w:cs="仿宋_GB2312"/>
          <w:color w:val="auto"/>
          <w:kern w:val="0"/>
          <w:sz w:val="32"/>
          <w:szCs w:val="32"/>
          <w:lang w:eastAsia="zh-CN" w:bidi="ar"/>
        </w:rPr>
        <w:t>项目开展了</w:t>
      </w:r>
      <w:r>
        <w:rPr>
          <w:rFonts w:hint="eastAsia" w:ascii="仿宋_GB2312" w:hAnsi="仿宋_GB2312" w:eastAsia="仿宋_GB2312" w:cs="仿宋_GB2312"/>
          <w:color w:val="auto"/>
          <w:kern w:val="0"/>
          <w:sz w:val="32"/>
          <w:szCs w:val="32"/>
          <w:lang w:bidi="ar"/>
        </w:rPr>
        <w:t>部门评价</w:t>
      </w:r>
      <w:r>
        <w:rPr>
          <w:rFonts w:hint="eastAsia" w:ascii="仿宋_GB2312" w:hAnsi="仿宋_GB2312" w:eastAsia="仿宋_GB2312" w:cs="仿宋_GB2312"/>
          <w:color w:val="auto"/>
          <w:kern w:val="0"/>
          <w:sz w:val="32"/>
          <w:szCs w:val="32"/>
          <w:lang w:eastAsia="zh-CN" w:bidi="ar"/>
        </w:rPr>
        <w:t>，其评价结果如下：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bidi="ar"/>
        </w:rPr>
      </w:pPr>
      <w:r>
        <w:rPr>
          <w:rFonts w:hint="eastAsia" w:ascii="仿宋_GB2312" w:eastAsia="仿宋_GB2312"/>
          <w:color w:val="auto"/>
          <w:sz w:val="32"/>
          <w:szCs w:val="32"/>
          <w:lang w:val="en-US" w:eastAsia="zh-CN"/>
        </w:rPr>
        <w:t>该项目绩效部门评价为优，该项目皆用于案件审判执行支出，项目预算执行情况为99.5%，</w:t>
      </w:r>
      <w:r>
        <w:rPr>
          <w:rFonts w:hint="eastAsia" w:ascii="仿宋_GB2312" w:eastAsia="仿宋_GB2312"/>
          <w:color w:val="auto"/>
          <w:sz w:val="32"/>
          <w:szCs w:val="32"/>
          <w:lang w:val="en-US" w:eastAsia="zh-CN" w:bidi="ar"/>
        </w:rPr>
        <w:t>达到了预订的绩效目标。项目总体运行情况良好，我院根据财政等相关制度支出资金，为案件审判执行提供了资金保障，评价情况详见附件2。</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财政评价结果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rPr>
        <w:t>十一</w:t>
      </w:r>
      <w:r>
        <w:rPr>
          <w:rFonts w:hint="eastAsia" w:ascii="黑体" w:hAnsi="黑体" w:eastAsia="黑体" w:cs="黑体"/>
          <w:bCs/>
          <w:color w:val="auto"/>
          <w:sz w:val="32"/>
          <w:szCs w:val="32"/>
          <w:highlight w:val="none"/>
        </w:rPr>
        <w:t>、其他重要事项情况说明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95" w:name="_Toc15262_WPSOffice_Level2"/>
      <w:bookmarkStart w:id="96" w:name="_Toc15565_WPSOffice_Level2"/>
      <w:bookmarkStart w:id="97" w:name="_Toc5978_WPSOffice_Level2"/>
      <w:bookmarkStart w:id="98" w:name="_Toc18325_WPSOffice_Level2"/>
      <w:bookmarkStart w:id="99" w:name="_Toc23598_WPSOffice_Level2"/>
      <w:bookmarkStart w:id="100" w:name="_Toc32639_WPSOffice_Level2"/>
      <w:r>
        <w:rPr>
          <w:rFonts w:hint="eastAsia" w:ascii="楷体" w:hAnsi="楷体" w:eastAsia="楷体" w:cs="楷体"/>
          <w:bCs/>
          <w:color w:val="auto"/>
          <w:sz w:val="32"/>
          <w:szCs w:val="32"/>
          <w:highlight w:val="none"/>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三亚市城郊人民法院</w:t>
      </w:r>
      <w:r>
        <w:rPr>
          <w:rFonts w:hint="eastAsia" w:ascii="仿宋_GB2312" w:hAnsi="ˎ̥" w:eastAsia="仿宋_GB2312"/>
          <w:color w:val="auto"/>
          <w:sz w:val="32"/>
          <w:szCs w:val="32"/>
        </w:rPr>
        <w:t>部门机关运行经费</w:t>
      </w:r>
      <w:r>
        <w:rPr>
          <w:rFonts w:hint="eastAsia" w:ascii="仿宋_GB2312" w:hAnsi="ˎ̥" w:eastAsia="仿宋_GB2312"/>
          <w:color w:val="auto"/>
          <w:sz w:val="32"/>
          <w:szCs w:val="32"/>
          <w:lang w:val="en-US" w:eastAsia="zh-CN"/>
        </w:rPr>
        <w:t>858.43</w:t>
      </w:r>
      <w:r>
        <w:rPr>
          <w:rFonts w:hint="eastAsia" w:ascii="仿宋_GB2312" w:hAnsi="ˎ̥" w:eastAsia="仿宋_GB2312"/>
          <w:color w:val="auto"/>
          <w:sz w:val="32"/>
          <w:szCs w:val="32"/>
        </w:rPr>
        <w:t>万元，比年初预算</w:t>
      </w:r>
      <w:r>
        <w:rPr>
          <w:rFonts w:hint="eastAsia" w:ascii="仿宋_GB2312" w:hAnsi="ˎ̥" w:eastAsia="仿宋_GB2312"/>
          <w:color w:val="auto"/>
          <w:sz w:val="32"/>
          <w:szCs w:val="32"/>
          <w:lang w:val="en-US" w:eastAsia="zh-CN"/>
        </w:rPr>
        <w:t>801.73万元</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56.7</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完成预算的107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122.45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增长16.6%。</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由于案件量多，办理案件数增加，故相应的办案支出及相关支出也增加</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30383_WPSOffice_Level2"/>
      <w:bookmarkStart w:id="102" w:name="_Toc25333_WPSOffice_Level2"/>
      <w:bookmarkStart w:id="103" w:name="_Toc13084_WPSOffice_Level2"/>
      <w:bookmarkStart w:id="104" w:name="_Toc23966_WPSOffice_Level2"/>
      <w:bookmarkStart w:id="105" w:name="_Toc32689_WPSOffice_Level2"/>
      <w:bookmarkStart w:id="106" w:name="_Toc3131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eastAsia="zh-CN"/>
        </w:rPr>
        <w:t>三亚市城郊人民法院</w:t>
      </w:r>
      <w:r>
        <w:rPr>
          <w:rFonts w:hint="eastAsia" w:ascii="仿宋_GB2312" w:hAnsi="ˎ̥" w:eastAsia="仿宋_GB2312"/>
          <w:color w:val="auto"/>
          <w:sz w:val="32"/>
          <w:szCs w:val="32"/>
        </w:rPr>
        <w:t>部门政府采购支出总额</w:t>
      </w:r>
      <w:r>
        <w:rPr>
          <w:rFonts w:hint="eastAsia" w:ascii="仿宋_GB2312" w:hAnsi="ˎ̥" w:eastAsia="仿宋_GB2312"/>
          <w:color w:val="auto"/>
          <w:sz w:val="32"/>
          <w:szCs w:val="32"/>
          <w:lang w:val="en-US" w:eastAsia="zh-CN"/>
        </w:rPr>
        <w:t>660.31</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121.18</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539.13</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660.31</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35</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625.31</w:t>
      </w:r>
      <w:r>
        <w:rPr>
          <w:rFonts w:hint="eastAsia" w:ascii="仿宋_GB2312" w:hAnsi="ˎ̥"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10902_WPSOffice_Level2"/>
      <w:bookmarkStart w:id="108" w:name="_Toc29584_WPSOffice_Level2"/>
      <w:bookmarkStart w:id="109" w:name="_Toc527_WPSOffice_Level2"/>
      <w:bookmarkStart w:id="110" w:name="_Toc19989_WPSOffice_Level2"/>
      <w:bookmarkStart w:id="111" w:name="_Toc6016_WPSOffice_Level2"/>
      <w:bookmarkStart w:id="112" w:name="_Toc15129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w:t>
      </w:r>
      <w:r>
        <w:rPr>
          <w:rFonts w:hint="eastAsia" w:ascii="仿宋_GB2312" w:hAnsi="ˎ̥" w:eastAsia="仿宋_GB2312"/>
          <w:bCs/>
          <w:color w:val="auto"/>
          <w:sz w:val="32"/>
          <w:szCs w:val="32"/>
          <w:highlight w:val="none"/>
        </w:rPr>
        <w:t>有</w:t>
      </w:r>
      <w:r>
        <w:rPr>
          <w:rFonts w:hint="eastAsia" w:ascii="仿宋_GB2312" w:hAnsi="ˎ̥" w:eastAsia="仿宋_GB2312"/>
          <w:color w:val="auto"/>
          <w:sz w:val="32"/>
          <w:szCs w:val="32"/>
          <w:highlight w:val="none"/>
        </w:rPr>
        <w:t>房屋面</w:t>
      </w:r>
      <w:r>
        <w:rPr>
          <w:rFonts w:hint="eastAsia" w:ascii="仿宋_GB2312" w:hAnsi="ˎ̥" w:eastAsia="仿宋_GB2312"/>
          <w:color w:val="auto"/>
          <w:sz w:val="32"/>
          <w:szCs w:val="32"/>
        </w:rPr>
        <w:t>积</w:t>
      </w:r>
      <w:r>
        <w:rPr>
          <w:rFonts w:hint="eastAsia" w:ascii="仿宋_GB2312" w:hAnsi="ˎ̥" w:eastAsia="仿宋_GB2312"/>
          <w:color w:val="auto"/>
          <w:sz w:val="32"/>
          <w:szCs w:val="32"/>
          <w:lang w:val="en-US" w:eastAsia="zh-CN"/>
        </w:rPr>
        <w:t>21556</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辆，其中，机要通信用车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12</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3" w:name="_Toc11039_WPSOffice_Level1"/>
      <w:bookmarkStart w:id="114" w:name="_Toc8874_WPSOffice_Level1"/>
      <w:bookmarkStart w:id="115" w:name="_Toc17580_WPSOffice_Level1"/>
      <w:bookmarkStart w:id="116" w:name="_Toc4398_WPSOffice_Level1"/>
      <w:bookmarkStart w:id="117" w:name="_Toc8808_WPSOffice_Level1"/>
      <w:bookmarkStart w:id="118" w:name="_Toc15425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公共安全支出（类）法院（款）行政运行（项）：指人民法院用于保障机构正常运行、开展日常工作的基本支出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公共安全支出（类）法院（款）一般行政事务管理（项）：反映行政单位（包括实行公务员管理的事业单位）未单独设置项级科目的其他项目支出;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lang w:val="en-US" w:eastAsia="zh-CN"/>
        </w:rPr>
      </w:pPr>
      <w:r>
        <w:rPr>
          <w:rFonts w:hint="default" w:ascii="仿宋_GB2312" w:hAnsi="ˎ̥" w:eastAsia="仿宋_GB2312"/>
          <w:color w:val="auto"/>
          <w:sz w:val="32"/>
          <w:szCs w:val="32"/>
          <w:lang w:val="en-US" w:eastAsia="zh-CN"/>
        </w:rPr>
        <w:t>公共安全支出（类）法院（款）案件审判（项）：指反映人民法院对刑事、民事、行政、涉外等案件审判活动的支出;</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公共安全支出（类）法院（款）“两庭”建设（项）：指反映人民法院审判用房、人民法庭用房、刑场建设维修和设备购置，以及审判庭安全监控设备购置及运行管理等支出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公共安全支出（类）法院（款）其他法院支出（项）：指反映除上述项目以外其他用于法院方面的公共安全支出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社会保障和就业支出（类）行政事业单位养老支出（款）机关事业单位基本养老保险缴费支出（项）：指反映机关事业单位实施养老保险制度由单位缴纳的基本养老保险费支出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社会保障和就业支出（类）行政事业单位养老支出（款）机关事业单位职业年金缴费支出（项）：指反映机关事业单位实施养老保险制度由单位实际缴纳的职业年金支出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社会保障和就业支出（类）抚恤（款）其他优抚支出（项）：指反映其他用于优抚方面的支出</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卫生健康支出（类）行政事业单位医疗（款）行政单位医疗（项）：指反映财政部门集中安排的行政单位基本医疗保险缴费经费，未参加医疗保险的行政单位的公费医疗经费，按国家规定享受离休人员、红军老战士待遇人员的医疗经费</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卫生健康支出（类）行政事业单位医疗（款）公务员医疗补助（项）：指反映财政部门集中安排的公务员医疗补助经费。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住房保障支出（类）住房改革支出（款）住房公积金（项）：指反映行政事业单位按人力资源和社会保障部、财政部规定的基本工资和津贴补贴以及规定比例为职工缴纳的住房公积金</w:t>
      </w:r>
      <w:r>
        <w:rPr>
          <w:rFonts w:hint="eastAsia" w:ascii="仿宋_GB2312" w:hAnsi="ˎ̥"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r>
        <w:rPr>
          <w:rFonts w:hint="eastAsia" w:ascii="仿宋_GB2312" w:hAnsi="ˎ̥" w:eastAsia="仿宋_GB2312"/>
          <w:color w:val="auto"/>
          <w:sz w:val="32"/>
          <w:szCs w:val="32"/>
          <w:lang w:val="en-US" w:eastAsia="zh-CN"/>
        </w:rPr>
        <w:t xml:space="preserve">     附件：2.</w:t>
      </w:r>
      <w:r>
        <w:rPr>
          <w:rFonts w:hint="eastAsia" w:ascii="仿宋_GB2312" w:eastAsia="仿宋_GB2312"/>
          <w:color w:val="auto"/>
          <w:sz w:val="32"/>
          <w:szCs w:val="32"/>
          <w:lang w:val="en-US" w:eastAsia="zh-CN"/>
        </w:rPr>
        <w:t>执法办案业务项目部门评价报告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附件2：</w:t>
      </w:r>
    </w:p>
    <w:p>
      <w:pPr>
        <w:spacing w:before="167" w:line="218" w:lineRule="auto"/>
        <w:ind w:firstLine="2169" w:firstLineChars="500"/>
        <w:jc w:val="both"/>
        <w:outlineLvl w:val="0"/>
        <w:rPr>
          <w:rFonts w:ascii="宋体" w:hAnsi="宋体" w:eastAsia="宋体" w:cs="宋体"/>
          <w:color w:val="auto"/>
          <w:sz w:val="44"/>
          <w:szCs w:val="44"/>
        </w:rPr>
      </w:pPr>
      <w:r>
        <w:rPr>
          <w:rFonts w:hint="eastAsia" w:ascii="宋体" w:hAnsi="宋体" w:eastAsia="宋体" w:cs="宋体"/>
          <w:b/>
          <w:bCs/>
          <w:color w:val="auto"/>
          <w:spacing w:val="-4"/>
          <w:sz w:val="44"/>
          <w:szCs w:val="44"/>
        </w:rPr>
        <w:t>执法办案</w:t>
      </w:r>
      <w:r>
        <w:rPr>
          <w:rFonts w:hint="eastAsia" w:ascii="宋体" w:hAnsi="宋体" w:eastAsia="宋体" w:cs="宋体"/>
          <w:b/>
          <w:bCs/>
          <w:color w:val="auto"/>
          <w:spacing w:val="-4"/>
          <w:sz w:val="44"/>
          <w:szCs w:val="44"/>
          <w:lang w:val="en-US" w:eastAsia="zh-CN"/>
        </w:rPr>
        <w:t>业务</w:t>
      </w:r>
      <w:r>
        <w:rPr>
          <w:rFonts w:ascii="宋体" w:hAnsi="宋体" w:eastAsia="宋体" w:cs="宋体"/>
          <w:b/>
          <w:bCs/>
          <w:color w:val="auto"/>
          <w:spacing w:val="-4"/>
          <w:sz w:val="44"/>
          <w:szCs w:val="44"/>
        </w:rPr>
        <w:t>项目绩效评价报告</w:t>
      </w:r>
    </w:p>
    <w:p>
      <w:pPr>
        <w:pStyle w:val="3"/>
        <w:spacing w:line="249" w:lineRule="auto"/>
        <w:jc w:val="both"/>
        <w:rPr>
          <w:color w:val="auto"/>
        </w:rPr>
      </w:pPr>
    </w:p>
    <w:p>
      <w:pPr>
        <w:spacing w:before="88" w:line="221" w:lineRule="auto"/>
        <w:rPr>
          <w:rFonts w:ascii="黑体" w:hAnsi="黑体" w:eastAsia="黑体" w:cs="黑体"/>
          <w:b/>
          <w:bCs/>
          <w:color w:val="auto"/>
          <w:spacing w:val="15"/>
          <w:sz w:val="27"/>
          <w:szCs w:val="27"/>
        </w:rPr>
      </w:pPr>
      <w:r>
        <w:rPr>
          <w:rFonts w:ascii="黑体" w:hAnsi="黑体" w:eastAsia="黑体" w:cs="黑体"/>
          <w:b/>
          <w:bCs/>
          <w:color w:val="auto"/>
          <w:spacing w:val="15"/>
          <w:sz w:val="27"/>
          <w:szCs w:val="27"/>
        </w:rPr>
        <w:t>绩效评价结果：</w:t>
      </w:r>
    </w:p>
    <w:tbl>
      <w:tblPr>
        <w:tblStyle w:val="11"/>
        <w:tblpPr w:leftFromText="180" w:rightFromText="180" w:vertAnchor="text" w:horzAnchor="page" w:tblpX="1049" w:tblpY="332"/>
        <w:tblOverlap w:val="never"/>
        <w:tblW w:w="9934" w:type="dxa"/>
        <w:tblInd w:w="0" w:type="dxa"/>
        <w:tblLayout w:type="fixed"/>
        <w:tblCellMar>
          <w:top w:w="0" w:type="dxa"/>
          <w:left w:w="85" w:type="dxa"/>
          <w:bottom w:w="0" w:type="dxa"/>
          <w:right w:w="85" w:type="dxa"/>
        </w:tblCellMar>
      </w:tblPr>
      <w:tblGrid>
        <w:gridCol w:w="2575"/>
        <w:gridCol w:w="1488"/>
        <w:gridCol w:w="1560"/>
        <w:gridCol w:w="1356"/>
        <w:gridCol w:w="1536"/>
        <w:gridCol w:w="1419"/>
      </w:tblGrid>
      <w:tr>
        <w:tblPrEx>
          <w:tblCellMar>
            <w:top w:w="0" w:type="dxa"/>
            <w:left w:w="85" w:type="dxa"/>
            <w:bottom w:w="0" w:type="dxa"/>
            <w:right w:w="85" w:type="dxa"/>
          </w:tblCellMar>
        </w:tblPrEx>
        <w:trPr>
          <w:trHeight w:val="444"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一、项目基本情况</w:t>
            </w:r>
          </w:p>
        </w:tc>
      </w:tr>
      <w:tr>
        <w:tblPrEx>
          <w:tblCellMar>
            <w:top w:w="0" w:type="dxa"/>
            <w:left w:w="85" w:type="dxa"/>
            <w:bottom w:w="0" w:type="dxa"/>
            <w:right w:w="85" w:type="dxa"/>
          </w:tblCellMar>
        </w:tblPrEx>
        <w:trPr>
          <w:trHeight w:val="738"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项目类型</w:t>
            </w:r>
          </w:p>
        </w:tc>
        <w:tc>
          <w:tcPr>
            <w:tcW w:w="7359" w:type="dxa"/>
            <w:gridSpan w:val="5"/>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 xml:space="preserve">经常性项目（ </w:t>
            </w:r>
            <w:r>
              <w:rPr>
                <w:rFonts w:hint="eastAsia" w:ascii="宋体" w:hAnsi="宋体"/>
                <w:color w:val="auto"/>
                <w:sz w:val="24"/>
              </w:rPr>
              <w:t>√</w:t>
            </w:r>
            <w:r>
              <w:rPr>
                <w:rFonts w:hint="eastAsia" w:ascii="宋体" w:hAnsi="宋体" w:cs="宋体"/>
                <w:color w:val="auto"/>
                <w:kern w:val="0"/>
                <w:szCs w:val="21"/>
              </w:rPr>
              <w:t xml:space="preserve"> ）       一次性项目（  ）</w:t>
            </w:r>
          </w:p>
        </w:tc>
      </w:tr>
      <w:tr>
        <w:tblPrEx>
          <w:tblCellMar>
            <w:top w:w="0" w:type="dxa"/>
            <w:left w:w="85" w:type="dxa"/>
            <w:bottom w:w="0" w:type="dxa"/>
            <w:right w:w="85" w:type="dxa"/>
          </w:tblCellMar>
        </w:tblPrEx>
        <w:trPr>
          <w:trHeight w:val="1026"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计划投资额</w:t>
            </w:r>
          </w:p>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（万元）</w:t>
            </w:r>
          </w:p>
        </w:tc>
        <w:tc>
          <w:tcPr>
            <w:tcW w:w="1488"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60"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实际到位资金（万元）</w:t>
            </w:r>
          </w:p>
        </w:tc>
        <w:tc>
          <w:tcPr>
            <w:tcW w:w="135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3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实际使用情况（万元）</w:t>
            </w:r>
          </w:p>
        </w:tc>
        <w:tc>
          <w:tcPr>
            <w:tcW w:w="1419"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1,360.03</w:t>
            </w:r>
          </w:p>
        </w:tc>
      </w:tr>
      <w:tr>
        <w:tblPrEx>
          <w:tblCellMar>
            <w:top w:w="0" w:type="dxa"/>
            <w:left w:w="85" w:type="dxa"/>
            <w:bottom w:w="0" w:type="dxa"/>
            <w:right w:w="85" w:type="dxa"/>
          </w:tblCellMar>
        </w:tblPrEx>
        <w:trPr>
          <w:trHeight w:val="653"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二、绩效评价指标评分</w:t>
            </w:r>
          </w:p>
        </w:tc>
      </w:tr>
    </w:tbl>
    <w:tbl>
      <w:tblPr>
        <w:tblStyle w:val="22"/>
        <w:tblW w:w="9907"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398"/>
        <w:gridCol w:w="2138"/>
        <w:gridCol w:w="1079"/>
        <w:gridCol w:w="2108"/>
        <w:gridCol w:w="509"/>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52" w:type="dxa"/>
            <w:vAlign w:val="top"/>
          </w:tcPr>
          <w:p>
            <w:pPr>
              <w:spacing w:before="275"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一级指标</w:t>
            </w:r>
          </w:p>
        </w:tc>
        <w:tc>
          <w:tcPr>
            <w:tcW w:w="1398" w:type="dxa"/>
            <w:vAlign w:val="top"/>
          </w:tcPr>
          <w:p>
            <w:pPr>
              <w:spacing w:before="274" w:line="219" w:lineRule="auto"/>
              <w:ind w:left="450"/>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38" w:type="dxa"/>
            <w:vAlign w:val="top"/>
          </w:tcPr>
          <w:p>
            <w:pPr>
              <w:spacing w:before="275"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二级指标</w:t>
            </w:r>
          </w:p>
        </w:tc>
        <w:tc>
          <w:tcPr>
            <w:tcW w:w="1079" w:type="dxa"/>
            <w:vAlign w:val="top"/>
          </w:tcPr>
          <w:p>
            <w:pPr>
              <w:spacing w:before="274" w:line="219" w:lineRule="auto"/>
              <w:ind w:left="295"/>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08" w:type="dxa"/>
            <w:vAlign w:val="top"/>
          </w:tcPr>
          <w:p>
            <w:pPr>
              <w:spacing w:before="275" w:line="220" w:lineRule="auto"/>
              <w:ind w:left="565"/>
              <w:rPr>
                <w:rFonts w:ascii="宋体" w:hAnsi="宋体" w:eastAsia="宋体" w:cs="宋体"/>
                <w:color w:val="auto"/>
                <w:sz w:val="24"/>
                <w:szCs w:val="24"/>
              </w:rPr>
            </w:pPr>
            <w:r>
              <w:rPr>
                <w:rFonts w:ascii="宋体" w:hAnsi="宋体" w:eastAsia="宋体" w:cs="宋体"/>
                <w:color w:val="auto"/>
                <w:spacing w:val="-2"/>
                <w:sz w:val="24"/>
                <w:szCs w:val="24"/>
              </w:rPr>
              <w:t>三级指标</w:t>
            </w:r>
          </w:p>
        </w:tc>
        <w:tc>
          <w:tcPr>
            <w:tcW w:w="509" w:type="dxa"/>
            <w:vAlign w:val="top"/>
          </w:tcPr>
          <w:p>
            <w:pPr>
              <w:spacing w:before="274" w:line="219" w:lineRule="auto"/>
              <w:ind w:left="7"/>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1523" w:type="dxa"/>
            <w:vAlign w:val="top"/>
          </w:tcPr>
          <w:p>
            <w:pPr>
              <w:spacing w:before="274" w:line="219" w:lineRule="auto"/>
              <w:ind w:left="519"/>
              <w:rPr>
                <w:rFonts w:ascii="宋体" w:hAnsi="宋体" w:eastAsia="宋体" w:cs="宋体"/>
                <w:color w:val="auto"/>
                <w:sz w:val="24"/>
                <w:szCs w:val="24"/>
              </w:rPr>
            </w:pPr>
            <w:r>
              <w:rPr>
                <w:rFonts w:ascii="宋体" w:hAnsi="宋体" w:eastAsia="宋体" w:cs="宋体"/>
                <w:color w:val="auto"/>
                <w:spacing w:val="5"/>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2" w:type="dxa"/>
            <w:vMerge w:val="restart"/>
            <w:tcBorders>
              <w:bottom w:val="nil"/>
            </w:tcBorders>
            <w:vAlign w:val="top"/>
          </w:tcPr>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spacing w:before="78" w:line="219" w:lineRule="auto"/>
              <w:ind w:left="44"/>
              <w:rPr>
                <w:rFonts w:ascii="宋体" w:hAnsi="宋体" w:eastAsia="宋体" w:cs="宋体"/>
                <w:color w:val="auto"/>
                <w:sz w:val="24"/>
                <w:szCs w:val="24"/>
              </w:rPr>
            </w:pPr>
            <w:r>
              <w:rPr>
                <w:rFonts w:ascii="宋体" w:hAnsi="宋体" w:eastAsia="宋体" w:cs="宋体"/>
                <w:color w:val="auto"/>
                <w:spacing w:val="2"/>
                <w:sz w:val="24"/>
                <w:szCs w:val="24"/>
              </w:rPr>
              <w:t>项目决策</w:t>
            </w:r>
          </w:p>
        </w:tc>
        <w:tc>
          <w:tcPr>
            <w:tcW w:w="1398" w:type="dxa"/>
            <w:vMerge w:val="restart"/>
            <w:tcBorders>
              <w:bottom w:val="nil"/>
            </w:tcBorders>
            <w:vAlign w:val="top"/>
          </w:tcPr>
          <w:p>
            <w:pPr>
              <w:pStyle w:val="23"/>
              <w:spacing w:line="257" w:lineRule="auto"/>
              <w:rPr>
                <w:color w:val="auto"/>
              </w:rPr>
            </w:pPr>
          </w:p>
          <w:p>
            <w:pPr>
              <w:pStyle w:val="23"/>
              <w:spacing w:line="257" w:lineRule="auto"/>
              <w:rPr>
                <w:color w:val="auto"/>
              </w:rPr>
            </w:pPr>
          </w:p>
          <w:p>
            <w:pPr>
              <w:pStyle w:val="23"/>
              <w:spacing w:line="258" w:lineRule="auto"/>
              <w:rPr>
                <w:color w:val="auto"/>
              </w:rPr>
            </w:pPr>
          </w:p>
          <w:p>
            <w:pPr>
              <w:pStyle w:val="23"/>
              <w:spacing w:line="258" w:lineRule="auto"/>
              <w:rPr>
                <w:color w:val="auto"/>
              </w:rPr>
            </w:pPr>
          </w:p>
          <w:p>
            <w:pPr>
              <w:pStyle w:val="23"/>
              <w:spacing w:line="258"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12</w:t>
            </w:r>
          </w:p>
        </w:tc>
        <w:tc>
          <w:tcPr>
            <w:tcW w:w="2138" w:type="dxa"/>
            <w:vMerge w:val="restart"/>
            <w:tcBorders>
              <w:bottom w:val="nil"/>
            </w:tcBorders>
            <w:vAlign w:val="top"/>
          </w:tcPr>
          <w:p>
            <w:pPr>
              <w:pStyle w:val="23"/>
              <w:spacing w:line="28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3"/>
                <w:sz w:val="24"/>
                <w:szCs w:val="24"/>
              </w:rPr>
              <w:t>项目立项</w:t>
            </w:r>
          </w:p>
        </w:tc>
        <w:tc>
          <w:tcPr>
            <w:tcW w:w="1079" w:type="dxa"/>
            <w:vMerge w:val="restart"/>
            <w:tcBorders>
              <w:bottom w:val="nil"/>
            </w:tcBorders>
            <w:vAlign w:val="top"/>
          </w:tcPr>
          <w:p>
            <w:pPr>
              <w:pStyle w:val="23"/>
              <w:spacing w:line="304" w:lineRule="auto"/>
              <w:rPr>
                <w:color w:val="auto"/>
              </w:rPr>
            </w:pPr>
          </w:p>
          <w:p>
            <w:pPr>
              <w:spacing w:before="78" w:line="241" w:lineRule="auto"/>
              <w:ind w:left="474"/>
              <w:rPr>
                <w:rFonts w:ascii="宋体" w:hAnsi="宋体" w:eastAsia="宋体" w:cs="宋体"/>
                <w:color w:val="auto"/>
                <w:sz w:val="24"/>
                <w:szCs w:val="24"/>
              </w:rPr>
            </w:pPr>
            <w:r>
              <w:rPr>
                <w:rFonts w:ascii="宋体" w:hAnsi="宋体" w:eastAsia="宋体" w:cs="宋体"/>
                <w:color w:val="auto"/>
                <w:sz w:val="24"/>
                <w:szCs w:val="24"/>
              </w:rPr>
              <w:t>4</w:t>
            </w:r>
          </w:p>
        </w:tc>
        <w:tc>
          <w:tcPr>
            <w:tcW w:w="2108" w:type="dxa"/>
            <w:vAlign w:val="top"/>
          </w:tcPr>
          <w:p>
            <w:pPr>
              <w:spacing w:before="139"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立项依据充分性</w:t>
            </w:r>
          </w:p>
        </w:tc>
        <w:tc>
          <w:tcPr>
            <w:tcW w:w="509" w:type="dxa"/>
            <w:vAlign w:val="top"/>
          </w:tcPr>
          <w:p>
            <w:pPr>
              <w:spacing w:before="164" w:line="241"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64" w:line="241"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1" w:line="220"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立项程序规范性</w:t>
            </w:r>
          </w:p>
        </w:tc>
        <w:tc>
          <w:tcPr>
            <w:tcW w:w="509" w:type="dxa"/>
            <w:vAlign w:val="top"/>
          </w:tcPr>
          <w:p>
            <w:pPr>
              <w:spacing w:before="124" w:line="235"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24" w:line="235"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绩效目标</w:t>
            </w:r>
          </w:p>
        </w:tc>
        <w:tc>
          <w:tcPr>
            <w:tcW w:w="1079" w:type="dxa"/>
            <w:vMerge w:val="restart"/>
            <w:tcBorders>
              <w:bottom w:val="nil"/>
            </w:tcBorders>
            <w:vAlign w:val="top"/>
          </w:tcPr>
          <w:p>
            <w:pPr>
              <w:pStyle w:val="23"/>
              <w:spacing w:line="284" w:lineRule="auto"/>
              <w:rPr>
                <w:color w:val="auto"/>
              </w:rPr>
            </w:pPr>
          </w:p>
          <w:p>
            <w:pPr>
              <w:spacing w:before="78"/>
              <w:ind w:left="47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108" w:type="dxa"/>
            <w:vAlign w:val="top"/>
          </w:tcPr>
          <w:p>
            <w:pPr>
              <w:spacing w:before="12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绩效目标合理性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0"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绩效指标明确性</w:t>
            </w:r>
          </w:p>
        </w:tc>
        <w:tc>
          <w:tcPr>
            <w:tcW w:w="509" w:type="dxa"/>
            <w:vAlign w:val="top"/>
          </w:tcPr>
          <w:p>
            <w:pPr>
              <w:spacing w:before="124" w:line="235" w:lineRule="auto"/>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24" w:line="235" w:lineRule="auto"/>
              <w:ind w:left="69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32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资金投入</w:t>
            </w:r>
          </w:p>
        </w:tc>
        <w:tc>
          <w:tcPr>
            <w:tcW w:w="1079" w:type="dxa"/>
            <w:vMerge w:val="restart"/>
            <w:tcBorders>
              <w:bottom w:val="nil"/>
            </w:tcBorders>
            <w:vAlign w:val="top"/>
          </w:tcPr>
          <w:p>
            <w:pPr>
              <w:pStyle w:val="23"/>
              <w:spacing w:line="343" w:lineRule="auto"/>
              <w:rPr>
                <w:color w:val="auto"/>
              </w:rPr>
            </w:pPr>
          </w:p>
          <w:p>
            <w:pPr>
              <w:spacing w:before="7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08" w:type="dxa"/>
            <w:vAlign w:val="top"/>
          </w:tcPr>
          <w:p>
            <w:pPr>
              <w:spacing w:before="119"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预算编制科学性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6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资金分配合理性</w:t>
            </w:r>
          </w:p>
        </w:tc>
        <w:tc>
          <w:tcPr>
            <w:tcW w:w="509" w:type="dxa"/>
            <w:vAlign w:val="top"/>
          </w:tcPr>
          <w:p>
            <w:pPr>
              <w:spacing w:before="18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8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52" w:type="dxa"/>
            <w:vMerge w:val="restart"/>
            <w:tcBorders>
              <w:bottom w:val="nil"/>
            </w:tcBorders>
            <w:vAlign w:val="top"/>
          </w:tcPr>
          <w:p>
            <w:pPr>
              <w:pStyle w:val="23"/>
              <w:spacing w:line="309" w:lineRule="auto"/>
              <w:rPr>
                <w:color w:val="auto"/>
              </w:rPr>
            </w:pPr>
          </w:p>
          <w:p>
            <w:pPr>
              <w:pStyle w:val="23"/>
              <w:spacing w:line="309" w:lineRule="auto"/>
              <w:rPr>
                <w:color w:val="auto"/>
              </w:rPr>
            </w:pPr>
          </w:p>
          <w:p>
            <w:pPr>
              <w:pStyle w:val="23"/>
              <w:spacing w:line="310"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项目过程</w:t>
            </w:r>
          </w:p>
        </w:tc>
        <w:tc>
          <w:tcPr>
            <w:tcW w:w="1398" w:type="dxa"/>
            <w:vMerge w:val="restart"/>
            <w:tcBorders>
              <w:bottom w:val="nil"/>
            </w:tcBorders>
            <w:vAlign w:val="top"/>
          </w:tcPr>
          <w:p>
            <w:pPr>
              <w:pStyle w:val="23"/>
              <w:spacing w:line="317" w:lineRule="auto"/>
              <w:rPr>
                <w:color w:val="auto"/>
              </w:rPr>
            </w:pPr>
          </w:p>
          <w:p>
            <w:pPr>
              <w:pStyle w:val="23"/>
              <w:spacing w:line="317" w:lineRule="auto"/>
              <w:rPr>
                <w:color w:val="auto"/>
              </w:rPr>
            </w:pPr>
          </w:p>
          <w:p>
            <w:pPr>
              <w:pStyle w:val="23"/>
              <w:spacing w:line="317"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138" w:type="dxa"/>
            <w:vMerge w:val="restart"/>
            <w:tcBorders>
              <w:bottom w:val="nil"/>
            </w:tcBorders>
            <w:vAlign w:val="top"/>
          </w:tcPr>
          <w:p>
            <w:pPr>
              <w:pStyle w:val="23"/>
              <w:spacing w:line="471" w:lineRule="auto"/>
              <w:rPr>
                <w:color w:val="auto"/>
              </w:rPr>
            </w:pPr>
          </w:p>
          <w:p>
            <w:pPr>
              <w:spacing w:before="78" w:line="219"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资金管理</w:t>
            </w:r>
          </w:p>
        </w:tc>
        <w:tc>
          <w:tcPr>
            <w:tcW w:w="1079" w:type="dxa"/>
            <w:vMerge w:val="restart"/>
            <w:tcBorders>
              <w:bottom w:val="nil"/>
            </w:tcBorders>
            <w:vAlign w:val="top"/>
          </w:tcPr>
          <w:p>
            <w:pPr>
              <w:pStyle w:val="23"/>
              <w:spacing w:line="247" w:lineRule="auto"/>
              <w:rPr>
                <w:color w:val="auto"/>
              </w:rPr>
            </w:pPr>
          </w:p>
          <w:p>
            <w:pPr>
              <w:pStyle w:val="23"/>
              <w:spacing w:line="247" w:lineRule="auto"/>
              <w:rPr>
                <w:color w:val="auto"/>
              </w:rPr>
            </w:pPr>
          </w:p>
          <w:p>
            <w:pPr>
              <w:spacing w:before="78"/>
              <w:ind w:left="41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108" w:type="dxa"/>
            <w:vAlign w:val="top"/>
          </w:tcPr>
          <w:p>
            <w:pPr>
              <w:spacing w:before="9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资金到位率</w:t>
            </w:r>
          </w:p>
        </w:tc>
        <w:tc>
          <w:tcPr>
            <w:tcW w:w="509" w:type="dxa"/>
            <w:vAlign w:val="top"/>
          </w:tcPr>
          <w:p>
            <w:pPr>
              <w:spacing w:before="115" w:line="219" w:lineRule="auto"/>
              <w:ind w:left="18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23" w:type="dxa"/>
            <w:vAlign w:val="top"/>
          </w:tcPr>
          <w:p>
            <w:pPr>
              <w:spacing w:before="115" w:line="219"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bottom w:val="nil"/>
            </w:tcBorders>
            <w:vAlign w:val="top"/>
          </w:tcPr>
          <w:p>
            <w:pPr>
              <w:pStyle w:val="23"/>
              <w:rPr>
                <w:color w:val="auto"/>
              </w:rPr>
            </w:pPr>
          </w:p>
        </w:tc>
        <w:tc>
          <w:tcPr>
            <w:tcW w:w="1079" w:type="dxa"/>
            <w:vMerge w:val="continue"/>
            <w:tcBorders>
              <w:top w:val="nil"/>
              <w:bottom w:val="nil"/>
            </w:tcBorders>
            <w:vAlign w:val="top"/>
          </w:tcPr>
          <w:p>
            <w:pPr>
              <w:pStyle w:val="23"/>
              <w:rPr>
                <w:color w:val="auto"/>
              </w:rPr>
            </w:pPr>
          </w:p>
        </w:tc>
        <w:tc>
          <w:tcPr>
            <w:tcW w:w="2108" w:type="dxa"/>
            <w:vAlign w:val="top"/>
          </w:tcPr>
          <w:p>
            <w:pPr>
              <w:spacing w:before="12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预算执行率</w:t>
            </w:r>
          </w:p>
        </w:tc>
        <w:tc>
          <w:tcPr>
            <w:tcW w:w="509" w:type="dxa"/>
            <w:vAlign w:val="top"/>
          </w:tcPr>
          <w:p>
            <w:pPr>
              <w:spacing w:before="145"/>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45"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3"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资金使用合规性</w:t>
            </w:r>
          </w:p>
        </w:tc>
        <w:tc>
          <w:tcPr>
            <w:tcW w:w="509" w:type="dxa"/>
            <w:vAlign w:val="top"/>
          </w:tcPr>
          <w:p>
            <w:pPr>
              <w:spacing w:before="126" w:line="225" w:lineRule="auto"/>
              <w:ind w:left="188"/>
              <w:rPr>
                <w:rFonts w:ascii="宋体" w:hAnsi="宋体" w:eastAsia="宋体" w:cs="宋体"/>
                <w:color w:val="auto"/>
                <w:sz w:val="24"/>
                <w:szCs w:val="24"/>
              </w:rPr>
            </w:pPr>
            <w:r>
              <w:rPr>
                <w:rFonts w:ascii="宋体" w:hAnsi="宋体" w:eastAsia="宋体" w:cs="宋体"/>
                <w:color w:val="auto"/>
                <w:sz w:val="24"/>
                <w:szCs w:val="24"/>
              </w:rPr>
              <w:t>8</w:t>
            </w:r>
          </w:p>
        </w:tc>
        <w:tc>
          <w:tcPr>
            <w:tcW w:w="1523" w:type="dxa"/>
            <w:vAlign w:val="top"/>
          </w:tcPr>
          <w:p>
            <w:pPr>
              <w:spacing w:before="126" w:line="225" w:lineRule="auto"/>
              <w:ind w:left="698"/>
              <w:rPr>
                <w:rFonts w:ascii="宋体" w:hAnsi="宋体" w:eastAsia="宋体" w:cs="宋体"/>
                <w:color w:val="auto"/>
                <w:sz w:val="24"/>
                <w:szCs w:val="24"/>
              </w:rPr>
            </w:pPr>
            <w:r>
              <w:rPr>
                <w:rFonts w:ascii="宋体" w:hAnsi="宋体" w:eastAsia="宋体" w:cs="宋体"/>
                <w:color w:val="auto"/>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4"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组织实施</w:t>
            </w:r>
          </w:p>
        </w:tc>
        <w:tc>
          <w:tcPr>
            <w:tcW w:w="1079" w:type="dxa"/>
            <w:vMerge w:val="restart"/>
            <w:tcBorders>
              <w:bottom w:val="nil"/>
            </w:tcBorders>
            <w:vAlign w:val="top"/>
          </w:tcPr>
          <w:p>
            <w:pPr>
              <w:pStyle w:val="23"/>
              <w:spacing w:line="287"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10</w:t>
            </w:r>
          </w:p>
        </w:tc>
        <w:tc>
          <w:tcPr>
            <w:tcW w:w="2108" w:type="dxa"/>
            <w:vAlign w:val="top"/>
          </w:tcPr>
          <w:p>
            <w:pPr>
              <w:spacing w:before="114"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管理制度健全性</w:t>
            </w:r>
          </w:p>
        </w:tc>
        <w:tc>
          <w:tcPr>
            <w:tcW w:w="509" w:type="dxa"/>
            <w:vAlign w:val="top"/>
          </w:tcPr>
          <w:p>
            <w:pPr>
              <w:spacing w:before="137"/>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38"/>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4"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制度执行有效性</w:t>
            </w:r>
          </w:p>
        </w:tc>
        <w:tc>
          <w:tcPr>
            <w:tcW w:w="509" w:type="dxa"/>
            <w:vAlign w:val="top"/>
          </w:tcPr>
          <w:p>
            <w:pPr>
              <w:spacing w:before="128" w:line="232" w:lineRule="auto"/>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28" w:line="232" w:lineRule="auto"/>
              <w:ind w:left="698"/>
              <w:rPr>
                <w:rFonts w:ascii="宋体" w:hAnsi="宋体" w:eastAsia="宋体" w:cs="宋体"/>
                <w:color w:val="auto"/>
                <w:sz w:val="24"/>
                <w:szCs w:val="24"/>
              </w:rPr>
            </w:pPr>
            <w:r>
              <w:rPr>
                <w:rFonts w:ascii="宋体" w:hAnsi="宋体" w:eastAsia="宋体" w:cs="宋体"/>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52" w:type="dxa"/>
            <w:vMerge w:val="restart"/>
            <w:tcBorders>
              <w:bottom w:val="nil"/>
            </w:tcBorders>
            <w:vAlign w:val="top"/>
          </w:tcPr>
          <w:p>
            <w:pPr>
              <w:pStyle w:val="23"/>
              <w:spacing w:line="261" w:lineRule="auto"/>
              <w:rPr>
                <w:color w:val="auto"/>
              </w:rPr>
            </w:pPr>
          </w:p>
          <w:p>
            <w:pPr>
              <w:pStyle w:val="23"/>
              <w:spacing w:line="261" w:lineRule="auto"/>
              <w:rPr>
                <w:color w:val="auto"/>
              </w:rPr>
            </w:pPr>
          </w:p>
          <w:p>
            <w:pPr>
              <w:pStyle w:val="23"/>
              <w:spacing w:line="262" w:lineRule="auto"/>
              <w:rPr>
                <w:color w:val="auto"/>
              </w:rPr>
            </w:pPr>
          </w:p>
          <w:p>
            <w:pPr>
              <w:pStyle w:val="23"/>
              <w:spacing w:line="262" w:lineRule="auto"/>
              <w:rPr>
                <w:color w:val="auto"/>
              </w:rPr>
            </w:pPr>
          </w:p>
          <w:p>
            <w:pPr>
              <w:pStyle w:val="23"/>
              <w:spacing w:line="262"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项目绩效</w:t>
            </w:r>
          </w:p>
        </w:tc>
        <w:tc>
          <w:tcPr>
            <w:tcW w:w="1398" w:type="dxa"/>
            <w:vMerge w:val="restart"/>
            <w:tcBorders>
              <w:bottom w:val="nil"/>
            </w:tcBorders>
            <w:vAlign w:val="top"/>
          </w:tcPr>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7" w:lineRule="auto"/>
              <w:rPr>
                <w:color w:val="auto"/>
              </w:rPr>
            </w:pPr>
          </w:p>
          <w:p>
            <w:pPr>
              <w:spacing w:before="78"/>
              <w:ind w:left="571"/>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6</w:t>
            </w:r>
            <w:r>
              <w:rPr>
                <w:rFonts w:ascii="宋体" w:hAnsi="宋体" w:eastAsia="宋体" w:cs="宋体"/>
                <w:color w:val="auto"/>
                <w:spacing w:val="-4"/>
                <w:sz w:val="24"/>
                <w:szCs w:val="24"/>
              </w:rPr>
              <w:t>0</w:t>
            </w:r>
          </w:p>
        </w:tc>
        <w:tc>
          <w:tcPr>
            <w:tcW w:w="2138" w:type="dxa"/>
            <w:vAlign w:val="top"/>
          </w:tcPr>
          <w:p>
            <w:pPr>
              <w:spacing w:before="202" w:line="219" w:lineRule="auto"/>
              <w:ind w:left="582"/>
              <w:rPr>
                <w:rFonts w:hint="eastAsia" w:ascii="宋体" w:hAnsi="宋体" w:eastAsia="宋体" w:cs="宋体"/>
                <w:color w:val="auto"/>
                <w:sz w:val="24"/>
                <w:szCs w:val="24"/>
                <w:lang w:val="en-US" w:eastAsia="zh-CN"/>
              </w:rPr>
            </w:pPr>
            <w:r>
              <w:rPr>
                <w:rFonts w:ascii="宋体" w:hAnsi="宋体" w:eastAsia="宋体" w:cs="宋体"/>
                <w:color w:val="auto"/>
                <w:spacing w:val="2"/>
                <w:sz w:val="24"/>
                <w:szCs w:val="24"/>
              </w:rPr>
              <w:t>项目</w:t>
            </w:r>
            <w:r>
              <w:rPr>
                <w:rFonts w:hint="eastAsia" w:ascii="宋体" w:hAnsi="宋体" w:eastAsia="宋体" w:cs="宋体"/>
                <w:color w:val="auto"/>
                <w:spacing w:val="2"/>
                <w:sz w:val="24"/>
                <w:szCs w:val="24"/>
                <w:lang w:val="en-US" w:eastAsia="zh-CN"/>
              </w:rPr>
              <w:t>产出</w:t>
            </w:r>
          </w:p>
        </w:tc>
        <w:tc>
          <w:tcPr>
            <w:tcW w:w="1079" w:type="dxa"/>
            <w:vAlign w:val="top"/>
          </w:tcPr>
          <w:p>
            <w:pPr>
              <w:spacing w:before="227" w:line="241" w:lineRule="auto"/>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案</w:t>
            </w:r>
            <w:r>
              <w:rPr>
                <w:rFonts w:hint="eastAsia" w:ascii="宋体" w:hAnsi="宋体" w:eastAsia="宋体" w:cs="宋体"/>
                <w:color w:val="auto"/>
                <w:spacing w:val="-2"/>
                <w:sz w:val="24"/>
                <w:szCs w:val="24"/>
                <w:lang w:val="en-US" w:eastAsia="en-US"/>
              </w:rPr>
              <w:t>卷扫描页数</w:t>
            </w:r>
          </w:p>
        </w:tc>
        <w:tc>
          <w:tcPr>
            <w:tcW w:w="509" w:type="dxa"/>
            <w:vAlign w:val="top"/>
          </w:tcPr>
          <w:p>
            <w:pPr>
              <w:spacing w:before="227" w:line="241" w:lineRule="auto"/>
              <w:ind w:left="12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523" w:type="dxa"/>
            <w:vAlign w:val="top"/>
          </w:tcPr>
          <w:p>
            <w:pPr>
              <w:spacing w:before="227" w:line="241" w:lineRule="auto"/>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184" w:line="219" w:lineRule="auto"/>
              <w:ind w:left="582"/>
              <w:rPr>
                <w:rFonts w:ascii="宋体" w:hAnsi="宋体" w:eastAsia="宋体" w:cs="宋体"/>
                <w:color w:val="auto"/>
                <w:sz w:val="24"/>
                <w:szCs w:val="24"/>
              </w:rPr>
            </w:pPr>
            <w:r>
              <w:rPr>
                <w:rFonts w:ascii="宋体" w:hAnsi="宋体" w:eastAsia="宋体" w:cs="宋体"/>
                <w:color w:val="auto"/>
                <w:spacing w:val="7"/>
                <w:sz w:val="24"/>
                <w:szCs w:val="24"/>
              </w:rPr>
              <w:t>项目产出</w:t>
            </w:r>
          </w:p>
        </w:tc>
        <w:tc>
          <w:tcPr>
            <w:tcW w:w="1079" w:type="dxa"/>
            <w:vAlign w:val="top"/>
          </w:tcPr>
          <w:p>
            <w:pPr>
              <w:spacing w:before="20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陪审员补助支持</w:t>
            </w:r>
          </w:p>
          <w:p>
            <w:pPr>
              <w:spacing w:before="104" w:line="219" w:lineRule="auto"/>
              <w:ind w:left="206" w:firstLine="472" w:firstLineChars="200"/>
              <w:rPr>
                <w:rFonts w:ascii="宋体" w:hAnsi="宋体" w:eastAsia="宋体" w:cs="宋体"/>
                <w:color w:val="auto"/>
                <w:spacing w:val="-2"/>
                <w:sz w:val="24"/>
                <w:szCs w:val="24"/>
              </w:rPr>
            </w:pPr>
            <w:r>
              <w:rPr>
                <w:rFonts w:hint="eastAsia" w:ascii="宋体" w:hAnsi="宋体" w:eastAsia="宋体" w:cs="宋体"/>
                <w:color w:val="auto"/>
                <w:spacing w:val="-2"/>
                <w:sz w:val="24"/>
                <w:szCs w:val="24"/>
              </w:rPr>
              <w:t>案件数</w:t>
            </w:r>
          </w:p>
        </w:tc>
        <w:tc>
          <w:tcPr>
            <w:tcW w:w="509" w:type="dxa"/>
            <w:vAlign w:val="top"/>
          </w:tcPr>
          <w:p>
            <w:pPr>
              <w:spacing w:before="20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spacing w:before="20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306"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项目效益</w:t>
            </w:r>
          </w:p>
        </w:tc>
        <w:tc>
          <w:tcPr>
            <w:tcW w:w="1079" w:type="dxa"/>
            <w:vAlign w:val="top"/>
          </w:tcPr>
          <w:p>
            <w:pPr>
              <w:pStyle w:val="23"/>
              <w:spacing w:line="249"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15</w:t>
            </w:r>
          </w:p>
        </w:tc>
        <w:tc>
          <w:tcPr>
            <w:tcW w:w="2108" w:type="dxa"/>
            <w:vAlign w:val="top"/>
          </w:tcPr>
          <w:p>
            <w:pPr>
              <w:spacing w:before="155" w:line="241" w:lineRule="auto"/>
              <w:ind w:left="685" w:right="100" w:hanging="599"/>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结案率</w:t>
            </w:r>
          </w:p>
        </w:tc>
        <w:tc>
          <w:tcPr>
            <w:tcW w:w="509" w:type="dxa"/>
            <w:vAlign w:val="top"/>
          </w:tcPr>
          <w:p>
            <w:pPr>
              <w:pStyle w:val="23"/>
              <w:spacing w:line="249" w:lineRule="auto"/>
              <w:rPr>
                <w:color w:val="auto"/>
              </w:rPr>
            </w:pPr>
          </w:p>
          <w:p>
            <w:pPr>
              <w:spacing w:before="78"/>
              <w:ind w:left="128"/>
              <w:rPr>
                <w:rFonts w:ascii="宋体" w:hAnsi="宋体" w:eastAsia="宋体" w:cs="宋体"/>
                <w:color w:val="auto"/>
                <w:sz w:val="24"/>
                <w:szCs w:val="24"/>
              </w:rPr>
            </w:pPr>
            <w:r>
              <w:rPr>
                <w:rFonts w:ascii="宋体" w:hAnsi="宋体" w:eastAsia="宋体" w:cs="宋体"/>
                <w:color w:val="auto"/>
                <w:spacing w:val="-7"/>
                <w:sz w:val="24"/>
                <w:szCs w:val="24"/>
              </w:rPr>
              <w:t>15</w:t>
            </w:r>
          </w:p>
        </w:tc>
        <w:tc>
          <w:tcPr>
            <w:tcW w:w="1523" w:type="dxa"/>
            <w:vAlign w:val="top"/>
          </w:tcPr>
          <w:p>
            <w:pPr>
              <w:pStyle w:val="23"/>
              <w:spacing w:line="249" w:lineRule="auto"/>
              <w:rPr>
                <w:color w:val="auto"/>
              </w:rPr>
            </w:pPr>
          </w:p>
          <w:p>
            <w:pPr>
              <w:spacing w:before="78"/>
              <w:ind w:left="638"/>
              <w:rPr>
                <w:rFonts w:ascii="宋体" w:hAnsi="宋体" w:eastAsia="宋体" w:cs="宋体"/>
                <w:color w:val="auto"/>
                <w:sz w:val="24"/>
                <w:szCs w:val="24"/>
              </w:rPr>
            </w:pPr>
            <w:r>
              <w:rPr>
                <w:rFonts w:ascii="宋体" w:hAnsi="宋体" w:eastAsia="宋体" w:cs="宋体"/>
                <w:color w:val="auto"/>
                <w:spacing w:val="-7"/>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Align w:val="top"/>
          </w:tcPr>
          <w:p>
            <w:pPr>
              <w:pStyle w:val="23"/>
              <w:spacing w:line="267" w:lineRule="auto"/>
              <w:rPr>
                <w:color w:val="auto"/>
              </w:rPr>
            </w:pPr>
          </w:p>
          <w:p>
            <w:pPr>
              <w:spacing w:before="78" w:line="219" w:lineRule="auto"/>
              <w:ind w:left="463"/>
              <w:rPr>
                <w:rFonts w:ascii="宋体" w:hAnsi="宋体" w:eastAsia="宋体" w:cs="宋体"/>
                <w:color w:val="auto"/>
                <w:sz w:val="24"/>
                <w:szCs w:val="24"/>
              </w:rPr>
            </w:pPr>
            <w:r>
              <w:rPr>
                <w:rFonts w:ascii="宋体" w:hAnsi="宋体" w:eastAsia="宋体" w:cs="宋体"/>
                <w:color w:val="auto"/>
                <w:spacing w:val="-2"/>
                <w:sz w:val="24"/>
                <w:szCs w:val="24"/>
              </w:rPr>
              <w:t>满意度指标</w:t>
            </w:r>
          </w:p>
        </w:tc>
        <w:tc>
          <w:tcPr>
            <w:tcW w:w="1079" w:type="dxa"/>
            <w:vAlign w:val="top"/>
          </w:tcPr>
          <w:p>
            <w:pPr>
              <w:pStyle w:val="23"/>
              <w:spacing w:line="290" w:lineRule="auto"/>
              <w:rPr>
                <w:color w:val="auto"/>
              </w:rPr>
            </w:pPr>
          </w:p>
          <w:p>
            <w:pPr>
              <w:spacing w:before="7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pStyle w:val="23"/>
              <w:spacing w:line="267" w:lineRule="auto"/>
              <w:rPr>
                <w:color w:val="auto"/>
              </w:rPr>
            </w:pPr>
          </w:p>
          <w:p>
            <w:pPr>
              <w:spacing w:before="78" w:line="219" w:lineRule="auto"/>
              <w:ind w:left="325"/>
              <w:rPr>
                <w:rFonts w:ascii="宋体" w:hAnsi="宋体" w:eastAsia="宋体" w:cs="宋体"/>
                <w:color w:val="auto"/>
                <w:sz w:val="24"/>
                <w:szCs w:val="24"/>
              </w:rPr>
            </w:pPr>
            <w:r>
              <w:rPr>
                <w:rFonts w:ascii="宋体" w:hAnsi="宋体" w:eastAsia="宋体" w:cs="宋体"/>
                <w:color w:val="auto"/>
                <w:spacing w:val="2"/>
                <w:sz w:val="24"/>
                <w:szCs w:val="24"/>
              </w:rPr>
              <w:t>使用者满意度</w:t>
            </w:r>
          </w:p>
        </w:tc>
        <w:tc>
          <w:tcPr>
            <w:tcW w:w="509" w:type="dxa"/>
            <w:vAlign w:val="top"/>
          </w:tcPr>
          <w:p>
            <w:pPr>
              <w:pStyle w:val="23"/>
              <w:spacing w:line="290" w:lineRule="auto"/>
              <w:rPr>
                <w:color w:val="auto"/>
              </w:rPr>
            </w:pPr>
          </w:p>
          <w:p>
            <w:pPr>
              <w:spacing w:before="7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pStyle w:val="23"/>
              <w:spacing w:line="290" w:lineRule="auto"/>
              <w:rPr>
                <w:color w:val="auto"/>
              </w:rPr>
            </w:pPr>
          </w:p>
          <w:p>
            <w:pPr>
              <w:spacing w:before="7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52" w:type="dxa"/>
            <w:vAlign w:val="top"/>
          </w:tcPr>
          <w:p>
            <w:pPr>
              <w:spacing w:before="188" w:line="220" w:lineRule="auto"/>
              <w:ind w:left="285"/>
              <w:rPr>
                <w:rFonts w:ascii="宋体" w:hAnsi="宋体" w:eastAsia="宋体" w:cs="宋体"/>
                <w:color w:val="auto"/>
                <w:sz w:val="24"/>
                <w:szCs w:val="24"/>
              </w:rPr>
            </w:pPr>
            <w:r>
              <w:rPr>
                <w:rFonts w:ascii="宋体" w:hAnsi="宋体" w:eastAsia="宋体" w:cs="宋体"/>
                <w:color w:val="auto"/>
                <w:spacing w:val="5"/>
                <w:sz w:val="24"/>
                <w:szCs w:val="24"/>
              </w:rPr>
              <w:t>总分</w:t>
            </w:r>
          </w:p>
        </w:tc>
        <w:tc>
          <w:tcPr>
            <w:tcW w:w="1398" w:type="dxa"/>
            <w:vAlign w:val="top"/>
          </w:tcPr>
          <w:p>
            <w:pPr>
              <w:spacing w:before="211"/>
              <w:ind w:left="511"/>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38" w:type="dxa"/>
            <w:vAlign w:val="top"/>
          </w:tcPr>
          <w:p>
            <w:pPr>
              <w:pStyle w:val="23"/>
              <w:rPr>
                <w:color w:val="auto"/>
              </w:rPr>
            </w:pPr>
          </w:p>
        </w:tc>
        <w:tc>
          <w:tcPr>
            <w:tcW w:w="1079" w:type="dxa"/>
            <w:vAlign w:val="top"/>
          </w:tcPr>
          <w:p>
            <w:pPr>
              <w:spacing w:before="211"/>
              <w:ind w:left="355"/>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08" w:type="dxa"/>
            <w:vAlign w:val="top"/>
          </w:tcPr>
          <w:p>
            <w:pPr>
              <w:pStyle w:val="23"/>
              <w:rPr>
                <w:color w:val="auto"/>
              </w:rPr>
            </w:pPr>
          </w:p>
        </w:tc>
        <w:tc>
          <w:tcPr>
            <w:tcW w:w="509" w:type="dxa"/>
            <w:vAlign w:val="top"/>
          </w:tcPr>
          <w:p>
            <w:pPr>
              <w:spacing w:before="211"/>
              <w:ind w:left="68"/>
              <w:rPr>
                <w:rFonts w:ascii="宋体" w:hAnsi="宋体" w:eastAsia="宋体" w:cs="宋体"/>
                <w:color w:val="auto"/>
                <w:sz w:val="24"/>
                <w:szCs w:val="24"/>
              </w:rPr>
            </w:pPr>
            <w:r>
              <w:rPr>
                <w:rFonts w:ascii="宋体" w:hAnsi="宋体" w:eastAsia="宋体" w:cs="宋体"/>
                <w:color w:val="auto"/>
                <w:spacing w:val="-7"/>
                <w:sz w:val="24"/>
                <w:szCs w:val="24"/>
              </w:rPr>
              <w:t>100</w:t>
            </w:r>
          </w:p>
        </w:tc>
        <w:tc>
          <w:tcPr>
            <w:tcW w:w="1523" w:type="dxa"/>
            <w:vAlign w:val="top"/>
          </w:tcPr>
          <w:p>
            <w:pPr>
              <w:spacing w:before="211"/>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767" w:type="dxa"/>
            <w:gridSpan w:val="4"/>
            <w:vAlign w:val="top"/>
          </w:tcPr>
          <w:p>
            <w:pPr>
              <w:pStyle w:val="23"/>
              <w:spacing w:line="248" w:lineRule="auto"/>
              <w:rPr>
                <w:color w:val="auto"/>
              </w:rPr>
            </w:pPr>
          </w:p>
          <w:p>
            <w:pPr>
              <w:spacing w:before="78" w:line="218" w:lineRule="auto"/>
              <w:ind w:left="2355"/>
              <w:rPr>
                <w:rFonts w:ascii="宋体" w:hAnsi="宋体" w:eastAsia="宋体" w:cs="宋体"/>
                <w:color w:val="auto"/>
                <w:sz w:val="24"/>
                <w:szCs w:val="24"/>
              </w:rPr>
            </w:pPr>
            <w:r>
              <w:rPr>
                <w:rFonts w:ascii="宋体" w:hAnsi="宋体" w:eastAsia="宋体" w:cs="宋体"/>
                <w:color w:val="auto"/>
                <w:spacing w:val="-2"/>
                <w:sz w:val="24"/>
                <w:szCs w:val="24"/>
              </w:rPr>
              <w:t>评价等次</w:t>
            </w:r>
          </w:p>
        </w:tc>
        <w:tc>
          <w:tcPr>
            <w:tcW w:w="4140" w:type="dxa"/>
            <w:gridSpan w:val="3"/>
            <w:vAlign w:val="top"/>
          </w:tcPr>
          <w:p>
            <w:pPr>
              <w:pStyle w:val="23"/>
              <w:spacing w:line="248" w:lineRule="auto"/>
              <w:rPr>
                <w:color w:val="auto"/>
              </w:rPr>
            </w:pPr>
          </w:p>
          <w:p>
            <w:pPr>
              <w:spacing w:before="78" w:line="219" w:lineRule="auto"/>
              <w:ind w:left="1936"/>
              <w:rPr>
                <w:rFonts w:ascii="宋体" w:hAnsi="宋体" w:eastAsia="宋体" w:cs="宋体"/>
                <w:color w:val="auto"/>
                <w:sz w:val="24"/>
                <w:szCs w:val="24"/>
              </w:rPr>
            </w:pPr>
            <w:r>
              <w:rPr>
                <w:rFonts w:ascii="宋体" w:hAnsi="宋体" w:eastAsia="宋体" w:cs="宋体"/>
                <w:color w:val="auto"/>
                <w:sz w:val="24"/>
                <w:szCs w:val="24"/>
              </w:rPr>
              <w:t>优</w:t>
            </w:r>
          </w:p>
        </w:tc>
      </w:tr>
    </w:tbl>
    <w:p>
      <w:pPr>
        <w:pStyle w:val="3"/>
        <w:spacing w:line="171" w:lineRule="exact"/>
        <w:rPr>
          <w:color w:val="auto"/>
          <w:sz w:val="14"/>
        </w:rPr>
      </w:pPr>
    </w:p>
    <w:p>
      <w:pPr>
        <w:spacing w:line="171" w:lineRule="exact"/>
        <w:rPr>
          <w:color w:val="auto"/>
          <w:sz w:val="14"/>
          <w:szCs w:val="14"/>
        </w:rPr>
        <w:sectPr>
          <w:footerReference r:id="rId3" w:type="default"/>
          <w:pgSz w:w="11900" w:h="16830"/>
          <w:pgMar w:top="1384" w:right="924" w:bottom="1127" w:left="1065" w:header="0" w:footer="1001" w:gutter="0"/>
          <w:cols w:equalWidth="0" w:num="1">
            <w:col w:w="9910"/>
          </w:cols>
        </w:sectPr>
      </w:pPr>
    </w:p>
    <w:p>
      <w:pPr>
        <w:spacing w:before="53" w:line="223" w:lineRule="auto"/>
        <w:ind w:left="774"/>
        <w:rPr>
          <w:rFonts w:ascii="仿宋" w:hAnsi="仿宋" w:eastAsia="仿宋" w:cs="仿宋"/>
          <w:color w:val="auto"/>
          <w:sz w:val="26"/>
          <w:szCs w:val="26"/>
        </w:rPr>
      </w:pPr>
      <w:r>
        <w:rPr>
          <w:rFonts w:ascii="仿宋" w:hAnsi="仿宋" w:eastAsia="仿宋" w:cs="仿宋"/>
          <w:color w:val="auto"/>
          <w:spacing w:val="24"/>
          <w:sz w:val="26"/>
          <w:szCs w:val="26"/>
        </w:rPr>
        <w:t>注：绩效等级</w:t>
      </w:r>
    </w:p>
    <w:p>
      <w:pPr>
        <w:spacing w:before="285" w:line="222" w:lineRule="auto"/>
        <w:ind w:left="1324"/>
        <w:rPr>
          <w:rFonts w:ascii="仿宋" w:hAnsi="仿宋" w:eastAsia="仿宋" w:cs="仿宋"/>
          <w:color w:val="auto"/>
          <w:sz w:val="26"/>
          <w:szCs w:val="26"/>
        </w:rPr>
      </w:pPr>
      <w:r>
        <w:rPr>
          <w:rFonts w:ascii="仿宋" w:hAnsi="仿宋" w:eastAsia="仿宋" w:cs="仿宋"/>
          <w:color w:val="auto"/>
          <w:spacing w:val="18"/>
          <w:sz w:val="26"/>
          <w:szCs w:val="26"/>
        </w:rPr>
        <w:t>优≥90分；</w:t>
      </w:r>
    </w:p>
    <w:p>
      <w:pPr>
        <w:spacing w:before="186" w:line="194" w:lineRule="auto"/>
        <w:ind w:left="1354"/>
        <w:rPr>
          <w:rFonts w:ascii="仿宋" w:hAnsi="仿宋" w:eastAsia="仿宋" w:cs="仿宋"/>
          <w:color w:val="auto"/>
          <w:sz w:val="26"/>
          <w:szCs w:val="26"/>
        </w:rPr>
      </w:pPr>
      <w:r>
        <w:rPr>
          <w:rFonts w:ascii="仿宋" w:hAnsi="仿宋" w:eastAsia="仿宋" w:cs="仿宋"/>
          <w:color w:val="auto"/>
          <w:spacing w:val="20"/>
          <w:sz w:val="26"/>
          <w:szCs w:val="26"/>
        </w:rPr>
        <w:t>中≥60分，&lt;80分；</w:t>
      </w:r>
    </w:p>
    <w:p>
      <w:pPr>
        <w:pStyle w:val="3"/>
        <w:spacing w:line="14" w:lineRule="auto"/>
        <w:rPr>
          <w:color w:val="auto"/>
          <w:sz w:val="2"/>
        </w:rPr>
      </w:pPr>
      <w:r>
        <w:rPr>
          <w:color w:val="auto"/>
          <w:sz w:val="2"/>
          <w:szCs w:val="2"/>
        </w:rPr>
        <w:br w:type="column"/>
      </w:r>
    </w:p>
    <w:p>
      <w:pPr>
        <w:pStyle w:val="3"/>
        <w:spacing w:line="282" w:lineRule="auto"/>
        <w:rPr>
          <w:color w:val="auto"/>
        </w:rPr>
      </w:pPr>
    </w:p>
    <w:p>
      <w:pPr>
        <w:pStyle w:val="3"/>
        <w:spacing w:line="282" w:lineRule="auto"/>
        <w:rPr>
          <w:color w:val="auto"/>
        </w:rPr>
      </w:pPr>
    </w:p>
    <w:p>
      <w:pPr>
        <w:spacing w:before="84" w:line="274" w:lineRule="auto"/>
        <w:ind w:left="29" w:right="1835" w:hanging="29"/>
        <w:rPr>
          <w:rFonts w:ascii="仿宋" w:hAnsi="仿宋" w:eastAsia="仿宋" w:cs="仿宋"/>
          <w:color w:val="auto"/>
          <w:sz w:val="26"/>
          <w:szCs w:val="26"/>
        </w:rPr>
      </w:pPr>
      <w:r>
        <w:rPr>
          <w:rFonts w:ascii="仿宋" w:hAnsi="仿宋" w:eastAsia="仿宋" w:cs="仿宋"/>
          <w:color w:val="auto"/>
          <w:spacing w:val="17"/>
          <w:sz w:val="26"/>
          <w:szCs w:val="26"/>
        </w:rPr>
        <w:t>良≥80分，&lt;90分；</w:t>
      </w:r>
      <w:r>
        <w:rPr>
          <w:rFonts w:ascii="仿宋" w:hAnsi="仿宋" w:eastAsia="仿宋" w:cs="仿宋"/>
          <w:color w:val="auto"/>
          <w:spacing w:val="1"/>
          <w:sz w:val="26"/>
          <w:szCs w:val="26"/>
        </w:rPr>
        <w:t xml:space="preserve"> </w:t>
      </w:r>
      <w:r>
        <w:rPr>
          <w:rFonts w:ascii="仿宋" w:hAnsi="仿宋" w:eastAsia="仿宋" w:cs="仿宋"/>
          <w:color w:val="auto"/>
          <w:spacing w:val="8"/>
          <w:sz w:val="26"/>
          <w:szCs w:val="26"/>
        </w:rPr>
        <w:t>差&lt;70;</w:t>
      </w:r>
    </w:p>
    <w:p>
      <w:pPr>
        <w:spacing w:line="274" w:lineRule="auto"/>
        <w:rPr>
          <w:rFonts w:ascii="仿宋" w:hAnsi="仿宋" w:eastAsia="仿宋" w:cs="仿宋"/>
          <w:color w:val="auto"/>
          <w:sz w:val="26"/>
          <w:szCs w:val="26"/>
        </w:rPr>
        <w:sectPr>
          <w:type w:val="continuous"/>
          <w:pgSz w:w="11900" w:h="16830"/>
          <w:pgMar w:top="1384" w:right="924" w:bottom="1127" w:left="1065" w:header="0" w:footer="1001" w:gutter="0"/>
          <w:cols w:equalWidth="0" w:num="2">
            <w:col w:w="5575" w:space="100"/>
            <w:col w:w="4235"/>
          </w:cols>
        </w:sectPr>
      </w:pPr>
    </w:p>
    <w:p>
      <w:pPr>
        <w:spacing w:line="223" w:lineRule="auto"/>
        <w:ind w:left="664"/>
        <w:outlineLvl w:val="2"/>
        <w:rPr>
          <w:rFonts w:ascii="黑体" w:hAnsi="黑体" w:eastAsia="黑体" w:cs="黑体"/>
          <w:color w:val="auto"/>
          <w:sz w:val="31"/>
          <w:szCs w:val="31"/>
        </w:rPr>
      </w:pPr>
      <w:r>
        <w:rPr>
          <w:rFonts w:ascii="黑体" w:hAnsi="黑体" w:eastAsia="黑体" w:cs="黑体"/>
          <w:b/>
          <w:bCs/>
          <w:color w:val="auto"/>
          <w:spacing w:val="5"/>
          <w:sz w:val="31"/>
          <w:szCs w:val="31"/>
        </w:rPr>
        <w:t>一、基本情况</w:t>
      </w:r>
    </w:p>
    <w:p>
      <w:pPr>
        <w:spacing w:before="201" w:line="232" w:lineRule="auto"/>
        <w:ind w:left="814"/>
        <w:outlineLvl w:val="2"/>
        <w:rPr>
          <w:rFonts w:ascii="楷体" w:hAnsi="楷体" w:eastAsia="楷体" w:cs="楷体"/>
          <w:color w:val="auto"/>
          <w:sz w:val="31"/>
          <w:szCs w:val="31"/>
        </w:rPr>
      </w:pPr>
      <w:r>
        <w:rPr>
          <w:rFonts w:ascii="楷体" w:hAnsi="楷体" w:eastAsia="楷体" w:cs="楷体"/>
          <w:b/>
          <w:bCs/>
          <w:color w:val="auto"/>
          <w:spacing w:val="14"/>
          <w:sz w:val="31"/>
          <w:szCs w:val="31"/>
        </w:rPr>
        <w:t>(</w:t>
      </w:r>
      <w:r>
        <w:rPr>
          <w:rFonts w:ascii="楷体" w:hAnsi="楷体" w:eastAsia="楷体" w:cs="楷体"/>
          <w:color w:val="auto"/>
          <w:spacing w:val="-79"/>
          <w:sz w:val="31"/>
          <w:szCs w:val="31"/>
        </w:rPr>
        <w:t xml:space="preserve"> </w:t>
      </w:r>
      <w:r>
        <w:rPr>
          <w:rFonts w:ascii="楷体" w:hAnsi="楷体" w:eastAsia="楷体" w:cs="楷体"/>
          <w:b/>
          <w:bCs/>
          <w:color w:val="auto"/>
          <w:spacing w:val="14"/>
          <w:sz w:val="31"/>
          <w:szCs w:val="31"/>
        </w:rPr>
        <w:t>一</w:t>
      </w:r>
      <w:r>
        <w:rPr>
          <w:rFonts w:ascii="楷体" w:hAnsi="楷体" w:eastAsia="楷体" w:cs="楷体"/>
          <w:color w:val="auto"/>
          <w:spacing w:val="-93"/>
          <w:sz w:val="31"/>
          <w:szCs w:val="31"/>
        </w:rPr>
        <w:t xml:space="preserve"> </w:t>
      </w:r>
      <w:r>
        <w:rPr>
          <w:rFonts w:ascii="楷体" w:hAnsi="楷体" w:eastAsia="楷体" w:cs="楷体"/>
          <w:b/>
          <w:bCs/>
          <w:color w:val="auto"/>
          <w:spacing w:val="14"/>
          <w:sz w:val="31"/>
          <w:szCs w:val="31"/>
        </w:rPr>
        <w:t>)项目概况</w:t>
      </w:r>
    </w:p>
    <w:p>
      <w:pPr>
        <w:spacing w:before="186"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1.立项背景</w:t>
      </w:r>
    </w:p>
    <w:p>
      <w:pPr>
        <w:spacing w:before="228" w:line="349" w:lineRule="auto"/>
        <w:ind w:firstLine="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响应国家“全面依法治国”战略及最高人民法院“智慧法院”建设部署，以及强化党对司法工作的领导背景下，为应对</w:t>
      </w:r>
      <w:r>
        <w:rPr>
          <w:rFonts w:hint="eastAsia" w:ascii="仿宋_GB2312" w:hAnsi="仿宋_GB2312" w:eastAsia="仿宋_GB2312" w:cs="仿宋_GB2312"/>
          <w:color w:val="auto"/>
          <w:spacing w:val="14"/>
          <w:sz w:val="32"/>
          <w:szCs w:val="32"/>
        </w:rPr>
        <w:t>基层法院普遍面临案件量持续攀升的困境，</w:t>
      </w:r>
      <w:r>
        <w:rPr>
          <w:rFonts w:hint="eastAsia" w:ascii="仿宋_GB2312" w:hAnsi="仿宋_GB2312" w:eastAsia="仿宋_GB2312" w:cs="仿宋_GB2312"/>
          <w:color w:val="auto"/>
          <w:spacing w:val="14"/>
          <w:sz w:val="32"/>
          <w:szCs w:val="32"/>
          <w:lang w:val="en-US" w:eastAsia="zh-CN"/>
        </w:rPr>
        <w:t>亟待</w:t>
      </w:r>
      <w:r>
        <w:rPr>
          <w:rFonts w:hint="eastAsia" w:ascii="仿宋_GB2312" w:hAnsi="仿宋_GB2312" w:eastAsia="仿宋_GB2312" w:cs="仿宋_GB2312"/>
          <w:color w:val="auto"/>
          <w:spacing w:val="14"/>
          <w:sz w:val="32"/>
          <w:szCs w:val="32"/>
        </w:rPr>
        <w:t>通过专项改革优化流程</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lang w:val="en-US" w:eastAsia="zh-CN"/>
        </w:rPr>
        <w:t>改进</w:t>
      </w:r>
      <w:r>
        <w:rPr>
          <w:rFonts w:hint="eastAsia" w:ascii="仿宋_GB2312" w:hAnsi="仿宋_GB2312" w:eastAsia="仿宋_GB2312" w:cs="仿宋_GB2312"/>
          <w:color w:val="auto"/>
          <w:spacing w:val="14"/>
          <w:sz w:val="32"/>
          <w:szCs w:val="32"/>
        </w:rPr>
        <w:t>传统办案模式，</w:t>
      </w:r>
      <w:r>
        <w:rPr>
          <w:rFonts w:hint="eastAsia" w:ascii="仿宋_GB2312" w:hAnsi="仿宋_GB2312" w:eastAsia="仿宋_GB2312" w:cs="仿宋_GB2312"/>
          <w:color w:val="auto"/>
          <w:spacing w:val="14"/>
          <w:sz w:val="32"/>
          <w:szCs w:val="32"/>
          <w:lang w:val="en-US" w:eastAsia="zh-CN"/>
        </w:rPr>
        <w:t>以满足</w:t>
      </w:r>
      <w:r>
        <w:rPr>
          <w:rFonts w:hint="eastAsia" w:ascii="仿宋_GB2312" w:hAnsi="仿宋_GB2312" w:eastAsia="仿宋_GB2312" w:cs="仿宋_GB2312"/>
          <w:color w:val="auto"/>
          <w:spacing w:val="14"/>
          <w:sz w:val="32"/>
          <w:szCs w:val="32"/>
        </w:rPr>
        <w:t>公众对司法公正、效率及透明度</w:t>
      </w:r>
      <w:r>
        <w:rPr>
          <w:rFonts w:hint="eastAsia" w:ascii="仿宋_GB2312" w:hAnsi="仿宋_GB2312" w:eastAsia="仿宋_GB2312" w:cs="仿宋_GB2312"/>
          <w:color w:val="auto"/>
          <w:spacing w:val="14"/>
          <w:sz w:val="32"/>
          <w:szCs w:val="32"/>
          <w:lang w:val="en-US" w:eastAsia="zh-CN"/>
        </w:rPr>
        <w:t>的期待要求。</w:t>
      </w:r>
    </w:p>
    <w:p>
      <w:pPr>
        <w:spacing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2.主要内容及实施情况</w:t>
      </w:r>
    </w:p>
    <w:p>
      <w:pPr>
        <w:spacing w:before="197" w:line="222" w:lineRule="auto"/>
        <w:ind w:left="789"/>
        <w:rPr>
          <w:rFonts w:hint="eastAsia" w:ascii="仿宋_GB2312" w:hAnsi="仿宋_GB2312" w:eastAsia="仿宋_GB2312" w:cs="仿宋_GB2312"/>
          <w:color w:val="auto"/>
          <w:spacing w:val="27"/>
          <w:sz w:val="32"/>
          <w:szCs w:val="32"/>
        </w:rPr>
      </w:pPr>
      <w:r>
        <w:rPr>
          <w:rFonts w:hint="eastAsia" w:ascii="仿宋_GB2312" w:hAnsi="仿宋_GB2312" w:eastAsia="仿宋_GB2312" w:cs="仿宋_GB2312"/>
          <w:color w:val="auto"/>
          <w:spacing w:val="27"/>
          <w:sz w:val="32"/>
          <w:szCs w:val="32"/>
        </w:rPr>
        <w:t>(1)项目主要内容</w:t>
      </w:r>
    </w:p>
    <w:p>
      <w:pPr>
        <w:spacing w:before="186" w:line="339" w:lineRule="auto"/>
        <w:ind w:firstLine="668"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案件审判项目属于经常性项目，依照宪法及组织法的有关规定，我院依法审判法律规定由基层人民法庭管辖的第一审案件，依法审判三亚市中级人民法院交办或指令的刑事、民事等案件。随着我省社会经济文化的发展，人民的法律意识的不断提高，人口的增长，我院案件量显著增加，办案成本也逐年增加，因此，与案件审判直接相关的支出也应逐年提高。</w:t>
      </w:r>
    </w:p>
    <w:p>
      <w:pPr>
        <w:spacing w:before="5" w:line="222" w:lineRule="auto"/>
        <w:ind w:left="83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8"/>
          <w:sz w:val="32"/>
          <w:szCs w:val="32"/>
        </w:rPr>
        <w:t>(2)项目实施情况</w:t>
      </w:r>
    </w:p>
    <w:p>
      <w:pPr>
        <w:spacing w:before="196" w:line="339" w:lineRule="auto"/>
        <w:ind w:left="54" w:right="6"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1"/>
          <w:sz w:val="32"/>
          <w:szCs w:val="32"/>
        </w:rPr>
        <w:t>2024年</w:t>
      </w:r>
      <w:r>
        <w:rPr>
          <w:rFonts w:hint="eastAsia" w:ascii="仿宋_GB2312" w:hAnsi="仿宋_GB2312" w:eastAsia="仿宋_GB2312" w:cs="仿宋_GB2312"/>
          <w:color w:val="auto"/>
          <w:spacing w:val="21"/>
          <w:sz w:val="32"/>
          <w:szCs w:val="32"/>
          <w:lang w:val="en-US" w:eastAsia="zh-CN"/>
        </w:rPr>
        <w:t>我院基本</w:t>
      </w:r>
      <w:r>
        <w:rPr>
          <w:rFonts w:hint="eastAsia" w:ascii="仿宋_GB2312" w:hAnsi="仿宋_GB2312" w:eastAsia="仿宋_GB2312" w:cs="仿宋_GB2312"/>
          <w:color w:val="auto"/>
          <w:spacing w:val="21"/>
          <w:sz w:val="32"/>
          <w:szCs w:val="32"/>
        </w:rPr>
        <w:t>按照</w:t>
      </w:r>
      <w:r>
        <w:rPr>
          <w:rFonts w:hint="eastAsia" w:ascii="仿宋_GB2312" w:hAnsi="仿宋_GB2312" w:eastAsia="仿宋_GB2312" w:cs="仿宋_GB2312"/>
          <w:color w:val="auto"/>
          <w:spacing w:val="21"/>
          <w:sz w:val="32"/>
          <w:szCs w:val="32"/>
          <w:lang w:eastAsia="zh-CN"/>
        </w:rPr>
        <w:t>执法办案</w:t>
      </w:r>
      <w:r>
        <w:rPr>
          <w:rFonts w:hint="eastAsia" w:ascii="仿宋_GB2312" w:hAnsi="仿宋_GB2312" w:eastAsia="仿宋_GB2312" w:cs="仿宋_GB2312"/>
          <w:color w:val="auto"/>
          <w:spacing w:val="21"/>
          <w:sz w:val="32"/>
          <w:szCs w:val="32"/>
        </w:rPr>
        <w:t>项目</w:t>
      </w:r>
      <w:r>
        <w:rPr>
          <w:rFonts w:hint="eastAsia" w:ascii="仿宋_GB2312" w:hAnsi="仿宋_GB2312" w:eastAsia="仿宋_GB2312" w:cs="仿宋_GB2312"/>
          <w:color w:val="auto"/>
          <w:spacing w:val="21"/>
          <w:sz w:val="32"/>
          <w:szCs w:val="32"/>
          <w:lang w:val="en-US" w:eastAsia="zh-CN"/>
        </w:rPr>
        <w:t>规定</w:t>
      </w:r>
      <w:r>
        <w:rPr>
          <w:rFonts w:hint="eastAsia" w:ascii="仿宋_GB2312" w:hAnsi="仿宋_GB2312" w:eastAsia="仿宋_GB2312" w:cs="仿宋_GB2312"/>
          <w:color w:val="auto"/>
          <w:spacing w:val="21"/>
          <w:sz w:val="32"/>
          <w:szCs w:val="32"/>
        </w:rPr>
        <w:t>的使用</w:t>
      </w:r>
      <w:r>
        <w:rPr>
          <w:rFonts w:hint="eastAsia" w:ascii="仿宋_GB2312" w:hAnsi="仿宋_GB2312" w:eastAsia="仿宋_GB2312" w:cs="仿宋_GB2312"/>
          <w:color w:val="auto"/>
          <w:spacing w:val="34"/>
          <w:sz w:val="32"/>
          <w:szCs w:val="32"/>
        </w:rPr>
        <w:t>范围</w:t>
      </w:r>
      <w:r>
        <w:rPr>
          <w:rFonts w:hint="eastAsia" w:ascii="仿宋_GB2312" w:hAnsi="仿宋_GB2312" w:eastAsia="仿宋_GB2312" w:cs="仿宋_GB2312"/>
          <w:color w:val="auto"/>
          <w:spacing w:val="34"/>
          <w:sz w:val="32"/>
          <w:szCs w:val="32"/>
          <w:lang w:val="en-US" w:eastAsia="zh-CN"/>
        </w:rPr>
        <w:t>实施，</w:t>
      </w:r>
      <w:r>
        <w:rPr>
          <w:rFonts w:hint="eastAsia" w:ascii="仿宋_GB2312" w:hAnsi="仿宋_GB2312" w:eastAsia="仿宋_GB2312" w:cs="仿宋_GB2312"/>
          <w:color w:val="auto"/>
          <w:spacing w:val="14"/>
          <w:sz w:val="32"/>
          <w:szCs w:val="32"/>
        </w:rPr>
        <w:t>主要</w:t>
      </w:r>
      <w:r>
        <w:rPr>
          <w:rFonts w:hint="eastAsia" w:ascii="仿宋_GB2312" w:hAnsi="仿宋_GB2312" w:eastAsia="仿宋_GB2312" w:cs="仿宋_GB2312"/>
          <w:color w:val="auto"/>
          <w:spacing w:val="14"/>
          <w:sz w:val="32"/>
          <w:szCs w:val="32"/>
          <w:lang w:val="en-US" w:eastAsia="zh-CN"/>
        </w:rPr>
        <w:t>内容为：与相关案件的差旅费、办案印刷费、网络租赁费等</w:t>
      </w:r>
      <w:r>
        <w:rPr>
          <w:rFonts w:hint="eastAsia" w:ascii="仿宋_GB2312" w:hAnsi="仿宋_GB2312" w:eastAsia="仿宋_GB2312" w:cs="仿宋_GB2312"/>
          <w:color w:val="auto"/>
          <w:spacing w:val="9"/>
          <w:sz w:val="32"/>
          <w:szCs w:val="32"/>
        </w:rPr>
        <w:t>，保障了审</w:t>
      </w:r>
      <w:r>
        <w:rPr>
          <w:rFonts w:hint="eastAsia" w:ascii="仿宋_GB2312" w:hAnsi="仿宋_GB2312" w:eastAsia="仿宋_GB2312" w:cs="仿宋_GB2312"/>
          <w:color w:val="auto"/>
          <w:spacing w:val="1"/>
          <w:sz w:val="32"/>
          <w:szCs w:val="32"/>
        </w:rPr>
        <w:t>判</w:t>
      </w:r>
      <w:r>
        <w:rPr>
          <w:rFonts w:hint="eastAsia" w:ascii="仿宋_GB2312" w:hAnsi="仿宋_GB2312" w:eastAsia="仿宋_GB2312" w:cs="仿宋_GB2312"/>
          <w:color w:val="auto"/>
          <w:spacing w:val="1"/>
          <w:sz w:val="32"/>
          <w:szCs w:val="32"/>
          <w:lang w:val="en-US" w:eastAsia="zh-CN"/>
        </w:rPr>
        <w:t>执行</w:t>
      </w:r>
      <w:r>
        <w:rPr>
          <w:rFonts w:hint="eastAsia" w:ascii="仿宋_GB2312" w:hAnsi="仿宋_GB2312" w:eastAsia="仿宋_GB2312" w:cs="仿宋_GB2312"/>
          <w:color w:val="auto"/>
          <w:spacing w:val="1"/>
          <w:sz w:val="32"/>
          <w:szCs w:val="32"/>
        </w:rPr>
        <w:t>工作的正常开展。</w:t>
      </w:r>
    </w:p>
    <w:p>
      <w:pPr>
        <w:spacing w:before="35"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3.资金投入和使用情况</w:t>
      </w:r>
    </w:p>
    <w:p>
      <w:pPr>
        <w:spacing w:before="195" w:line="339" w:lineRule="auto"/>
        <w:ind w:left="54" w:right="80"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7"/>
          <w:sz w:val="32"/>
          <w:szCs w:val="32"/>
        </w:rPr>
        <w:t>2024年项目投入资金总额为</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7"/>
          <w:sz w:val="32"/>
          <w:szCs w:val="32"/>
        </w:rPr>
        <w:t>万元，</w:t>
      </w:r>
      <w:r>
        <w:rPr>
          <w:rFonts w:hint="eastAsia" w:ascii="仿宋_GB2312" w:hAnsi="仿宋_GB2312" w:eastAsia="仿宋_GB2312" w:cs="仿宋_GB2312"/>
          <w:color w:val="auto"/>
          <w:spacing w:val="17"/>
          <w:sz w:val="32"/>
          <w:szCs w:val="32"/>
          <w:lang w:val="en-US" w:eastAsia="zh-CN"/>
        </w:rPr>
        <w:t>投入资金占预算数的比例为100%；2024年</w:t>
      </w:r>
      <w:r>
        <w:rPr>
          <w:rFonts w:hint="eastAsia" w:ascii="仿宋_GB2312" w:hAnsi="仿宋_GB2312" w:eastAsia="仿宋_GB2312" w:cs="仿宋_GB2312"/>
          <w:color w:val="auto"/>
          <w:spacing w:val="17"/>
          <w:sz w:val="32"/>
          <w:szCs w:val="32"/>
        </w:rPr>
        <w:t>实际使用资</w:t>
      </w:r>
      <w:r>
        <w:rPr>
          <w:rFonts w:hint="eastAsia" w:ascii="仿宋_GB2312" w:hAnsi="仿宋_GB2312" w:eastAsia="仿宋_GB2312" w:cs="仿宋_GB2312"/>
          <w:color w:val="auto"/>
          <w:spacing w:val="16"/>
          <w:sz w:val="32"/>
          <w:szCs w:val="32"/>
        </w:rPr>
        <w:t>金</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6"/>
          <w:sz w:val="32"/>
          <w:szCs w:val="32"/>
        </w:rPr>
        <w:t>万元，已使用资金占</w:t>
      </w:r>
      <w:r>
        <w:rPr>
          <w:rFonts w:hint="eastAsia" w:ascii="仿宋_GB2312" w:hAnsi="仿宋_GB2312" w:eastAsia="仿宋_GB2312" w:cs="仿宋_GB2312"/>
          <w:color w:val="auto"/>
          <w:spacing w:val="16"/>
          <w:sz w:val="32"/>
          <w:szCs w:val="32"/>
          <w:lang w:val="en-US" w:eastAsia="zh-CN"/>
        </w:rPr>
        <w:t>已</w:t>
      </w:r>
      <w:r>
        <w:rPr>
          <w:rFonts w:hint="eastAsia" w:ascii="仿宋_GB2312" w:hAnsi="仿宋_GB2312" w:eastAsia="仿宋_GB2312" w:cs="仿宋_GB2312"/>
          <w:color w:val="auto"/>
          <w:spacing w:val="16"/>
          <w:sz w:val="32"/>
          <w:szCs w:val="32"/>
        </w:rPr>
        <w:t>到位资金的比例为</w:t>
      </w:r>
      <w:r>
        <w:rPr>
          <w:rFonts w:hint="eastAsia" w:ascii="仿宋_GB2312" w:hAnsi="仿宋_GB2312" w:eastAsia="仿宋_GB2312" w:cs="仿宋_GB2312"/>
          <w:color w:val="auto"/>
          <w:spacing w:val="16"/>
          <w:sz w:val="32"/>
          <w:szCs w:val="32"/>
          <w:lang w:val="en-US" w:eastAsia="zh-CN"/>
        </w:rPr>
        <w:t>100</w:t>
      </w:r>
      <w:r>
        <w:rPr>
          <w:rFonts w:hint="eastAsia" w:ascii="仿宋_GB2312" w:hAnsi="仿宋_GB2312" w:eastAsia="仿宋_GB2312" w:cs="仿宋_GB2312"/>
          <w:color w:val="auto"/>
          <w:spacing w:val="16"/>
          <w:sz w:val="32"/>
          <w:szCs w:val="32"/>
        </w:rPr>
        <w:t>%。</w:t>
      </w:r>
    </w:p>
    <w:p>
      <w:pPr>
        <w:spacing w:before="1" w:line="226" w:lineRule="auto"/>
        <w:ind w:left="839"/>
        <w:outlineLvl w:val="2"/>
        <w:rPr>
          <w:rFonts w:ascii="楷体" w:hAnsi="楷体" w:eastAsia="楷体" w:cs="楷体"/>
          <w:color w:val="auto"/>
          <w:sz w:val="31"/>
          <w:szCs w:val="31"/>
        </w:rPr>
      </w:pPr>
      <w:r>
        <w:rPr>
          <w:rFonts w:ascii="楷体" w:hAnsi="楷体" w:eastAsia="楷体" w:cs="楷体"/>
          <w:b/>
          <w:bCs/>
          <w:color w:val="auto"/>
          <w:spacing w:val="26"/>
          <w:sz w:val="31"/>
          <w:szCs w:val="31"/>
        </w:rPr>
        <w:t>(二)项目绩效目标</w:t>
      </w:r>
    </w:p>
    <w:p>
      <w:pPr>
        <w:spacing w:before="193"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1.项目绩效总目标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为法院审判执行工作提供良好资金保障。</w:t>
      </w:r>
    </w:p>
    <w:p>
      <w:pPr>
        <w:spacing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2.项目年度绩效目标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（1）案卷扫描页数≥1250000张，确保阅卷完整性与准确性，提升阅卷效率与准确性，强化司法监督与管理；</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（2）</w:t>
      </w:r>
      <w:r>
        <w:rPr>
          <w:rFonts w:hint="eastAsia" w:ascii="仿宋_GB2312" w:hAnsi="仿宋_GB2312" w:eastAsia="仿宋_GB2312" w:cs="仿宋_GB2312"/>
          <w:color w:val="auto"/>
          <w:spacing w:val="17"/>
          <w:sz w:val="32"/>
          <w:szCs w:val="32"/>
          <w:lang w:val="en-US" w:eastAsia="zh-CN"/>
        </w:rPr>
        <w:t>陪审员补助支持案件数≥5000件</w:t>
      </w:r>
      <w:r>
        <w:rPr>
          <w:rFonts w:hint="eastAsia" w:ascii="仿宋_GB2312" w:hAnsi="仿宋_GB2312" w:eastAsia="仿宋_GB2312" w:cs="仿宋_GB2312"/>
          <w:color w:val="auto"/>
          <w:spacing w:val="17"/>
          <w:sz w:val="32"/>
          <w:szCs w:val="32"/>
        </w:rPr>
        <w:t>，保障陪审员权益，激发参审积极性，促进司法公正；</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（3）结案率≥80%，进一步提高司法效率，保障当事人权益。</w:t>
      </w:r>
    </w:p>
    <w:p>
      <w:pPr>
        <w:spacing w:before="1" w:line="220" w:lineRule="auto"/>
        <w:ind w:left="709"/>
        <w:outlineLvl w:val="2"/>
        <w:rPr>
          <w:rFonts w:ascii="黑体" w:hAnsi="黑体" w:eastAsia="黑体" w:cs="黑体"/>
          <w:color w:val="auto"/>
          <w:sz w:val="31"/>
          <w:szCs w:val="31"/>
        </w:rPr>
      </w:pPr>
      <w:r>
        <w:rPr>
          <w:rFonts w:ascii="黑体" w:hAnsi="黑体" w:eastAsia="黑体" w:cs="黑体"/>
          <w:b/>
          <w:bCs/>
          <w:color w:val="auto"/>
          <w:spacing w:val="5"/>
          <w:sz w:val="31"/>
          <w:szCs w:val="31"/>
        </w:rPr>
        <w:t>二、绩效评价工作开展情况</w:t>
      </w:r>
    </w:p>
    <w:p>
      <w:pPr>
        <w:spacing w:before="214" w:line="223" w:lineRule="auto"/>
        <w:ind w:left="839"/>
        <w:outlineLvl w:val="2"/>
        <w:rPr>
          <w:rFonts w:ascii="楷体" w:hAnsi="楷体" w:eastAsia="楷体" w:cs="楷体"/>
          <w:color w:val="auto"/>
          <w:sz w:val="31"/>
          <w:szCs w:val="31"/>
        </w:rPr>
      </w:pPr>
      <w:r>
        <w:rPr>
          <w:rFonts w:ascii="楷体" w:hAnsi="楷体" w:eastAsia="楷体" w:cs="楷体"/>
          <w:b/>
          <w:bCs/>
          <w:color w:val="auto"/>
          <w:spacing w:val="20"/>
          <w:sz w:val="31"/>
          <w:szCs w:val="31"/>
        </w:rPr>
        <w:t>(一)绩效评价目的、对象和范围</w:t>
      </w:r>
    </w:p>
    <w:p>
      <w:pPr>
        <w:spacing w:before="206" w:line="222" w:lineRule="auto"/>
        <w:ind w:left="704"/>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1.绩效评价</w:t>
      </w:r>
      <w:r>
        <w:rPr>
          <w:rFonts w:hint="eastAsia" w:ascii="仿宋_GB2312" w:hAnsi="仿宋_GB2312" w:eastAsia="仿宋_GB2312" w:cs="仿宋_GB2312"/>
          <w:color w:val="auto"/>
          <w:spacing w:val="6"/>
          <w:sz w:val="32"/>
          <w:szCs w:val="32"/>
          <w:lang w:val="en-US" w:eastAsia="zh-CN"/>
        </w:rPr>
        <w:t>目的</w:t>
      </w:r>
    </w:p>
    <w:p>
      <w:pPr>
        <w:spacing w:before="148" w:line="334" w:lineRule="auto"/>
        <w:ind w:right="49" w:firstLine="63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根据相关文件要求，结合评价项目的情况和特点，制定项目绩效评价指标体系，运用科学、规范的绩效评价方法，科学、客观、公正的对运行资金进行整体综合性评价，评价项目运行资金的使用情况和取得的效果，发现项目管理存在的问题，总结经验，提出改进意见和建议。通过绩效评价，完善制度、创新机制、加强管理、强化监督，以保证项目资金使用管理的规范性、安全性和有效性；在资金管理中引入绩效管理理念和方式，更好地发挥其政策扶持、引导作用，提高财政资金使用效益和社会效益；为指导预算编制、申报绩效目标、优化财政支出结构，提高公共服务水平提供决策依据。</w:t>
      </w:r>
    </w:p>
    <w:p>
      <w:pPr>
        <w:spacing w:before="67" w:line="222" w:lineRule="auto"/>
        <w:ind w:left="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2.绩效评价的对象和范围</w:t>
      </w:r>
    </w:p>
    <w:p>
      <w:pPr>
        <w:keepNext w:val="0"/>
        <w:keepLines w:val="0"/>
        <w:pageBreakBefore w:val="0"/>
        <w:widowControl/>
        <w:kinsoku w:val="0"/>
        <w:wordWrap/>
        <w:overflowPunct/>
        <w:topLinePunct w:val="0"/>
        <w:autoSpaceDE w:val="0"/>
        <w:autoSpaceDN w:val="0"/>
        <w:bidi w:val="0"/>
        <w:adjustRightInd w:val="0"/>
        <w:snapToGrid w:val="0"/>
        <w:spacing w:before="148" w:line="334" w:lineRule="auto"/>
        <w:ind w:right="51" w:firstLine="636" w:firstLineChars="200"/>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2024年预算安排的项目经费的投入使用情况以及项目实施效果等。</w:t>
      </w:r>
    </w:p>
    <w:p>
      <w:pPr>
        <w:keepNext w:val="0"/>
        <w:keepLines w:val="0"/>
        <w:pageBreakBefore w:val="0"/>
        <w:widowControl/>
        <w:kinsoku w:val="0"/>
        <w:wordWrap/>
        <w:overflowPunct/>
        <w:topLinePunct w:val="0"/>
        <w:autoSpaceDE w:val="0"/>
        <w:autoSpaceDN w:val="0"/>
        <w:bidi w:val="0"/>
        <w:adjustRightInd w:val="0"/>
        <w:snapToGrid w:val="0"/>
        <w:spacing w:line="224" w:lineRule="auto"/>
        <w:ind w:left="839"/>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(二)绩效评价原则、评价指标体系、评价方法、评</w:t>
      </w:r>
    </w:p>
    <w:p>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价标准等</w:t>
      </w:r>
    </w:p>
    <w:p>
      <w:pPr>
        <w:spacing w:before="206" w:line="222" w:lineRule="auto"/>
        <w:ind w:left="704"/>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1.绩效评价原则</w:t>
      </w:r>
    </w:p>
    <w:p>
      <w:pPr>
        <w:spacing w:before="148" w:line="334" w:lineRule="auto"/>
        <w:ind w:right="49" w:firstLine="636"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本次评价工作遵循“客观、公正、科学、规范”的原则，通过对项目效率性、效益性的比较和分析，考核支出效率和支出效果。</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2.评价指标体系</w:t>
      </w:r>
    </w:p>
    <w:p>
      <w:pPr>
        <w:spacing w:before="204" w:line="340" w:lineRule="auto"/>
        <w:ind w:left="9" w:right="134" w:firstLine="6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根据海南省财政厅《海南省项目支出绩效评价管理实施</w:t>
      </w:r>
      <w:r>
        <w:rPr>
          <w:rFonts w:hint="eastAsia" w:ascii="仿宋_GB2312" w:hAnsi="仿宋_GB2312" w:eastAsia="仿宋_GB2312" w:cs="仿宋_GB2312"/>
          <w:color w:val="auto"/>
          <w:spacing w:val="11"/>
          <w:sz w:val="32"/>
          <w:szCs w:val="32"/>
        </w:rPr>
        <w:t xml:space="preserve"> </w:t>
      </w:r>
      <w:r>
        <w:rPr>
          <w:rFonts w:hint="eastAsia" w:ascii="仿宋_GB2312" w:hAnsi="仿宋_GB2312" w:eastAsia="仿宋_GB2312" w:cs="仿宋_GB2312"/>
          <w:color w:val="auto"/>
          <w:spacing w:val="9"/>
          <w:sz w:val="32"/>
          <w:szCs w:val="32"/>
        </w:rPr>
        <w:t>办法》等文件精神及本项目的具体特点，设置了</w:t>
      </w:r>
      <w:r>
        <w:rPr>
          <w:rFonts w:hint="eastAsia" w:ascii="仿宋_GB2312" w:hAnsi="仿宋_GB2312" w:eastAsia="仿宋_GB2312" w:cs="仿宋_GB2312"/>
          <w:color w:val="auto"/>
          <w:spacing w:val="8"/>
          <w:sz w:val="32"/>
          <w:szCs w:val="32"/>
        </w:rPr>
        <w:t>合理可行的</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4"/>
          <w:sz w:val="32"/>
          <w:szCs w:val="32"/>
        </w:rPr>
        <w:t>评价体系，包括决策指标(项目立项、绩效目标、资金投入</w:t>
      </w:r>
      <w:r>
        <w:rPr>
          <w:rFonts w:hint="eastAsia" w:ascii="仿宋_GB2312" w:hAnsi="仿宋_GB2312" w:eastAsia="仿宋_GB2312" w:cs="仿宋_GB2312"/>
          <w:color w:val="auto"/>
          <w:spacing w:val="31"/>
          <w:sz w:val="32"/>
          <w:szCs w:val="32"/>
        </w:rPr>
        <w:t>指标)、过程指标(资金管理、组织实施)、产出指标(产</w:t>
      </w:r>
      <w:r>
        <w:rPr>
          <w:rFonts w:hint="eastAsia" w:ascii="仿宋_GB2312" w:hAnsi="仿宋_GB2312" w:eastAsia="仿宋_GB2312" w:cs="仿宋_GB2312"/>
          <w:color w:val="auto"/>
          <w:spacing w:val="13"/>
          <w:sz w:val="32"/>
          <w:szCs w:val="32"/>
        </w:rPr>
        <w:t>出数量、产出质量、产出时效、产出成本指标</w:t>
      </w:r>
      <w:r>
        <w:rPr>
          <w:rFonts w:hint="eastAsia" w:ascii="仿宋_GB2312" w:hAnsi="仿宋_GB2312" w:eastAsia="仿宋_GB2312" w:cs="仿宋_GB2312"/>
          <w:color w:val="auto"/>
          <w:spacing w:val="12"/>
          <w:sz w:val="32"/>
          <w:szCs w:val="32"/>
        </w:rPr>
        <w:t>)、效益指标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0"/>
          <w:sz w:val="32"/>
          <w:szCs w:val="32"/>
        </w:rPr>
        <w:t>(社会效益和可持续影响指标)、满意度指标等，具体详见</w:t>
      </w:r>
      <w:r>
        <w:rPr>
          <w:rFonts w:hint="eastAsia" w:ascii="仿宋_GB2312" w:hAnsi="仿宋_GB2312" w:eastAsia="仿宋_GB2312" w:cs="仿宋_GB2312"/>
          <w:color w:val="auto"/>
          <w:spacing w:val="1"/>
          <w:sz w:val="32"/>
          <w:szCs w:val="32"/>
        </w:rPr>
        <w:t>项目支出绩效评分表。</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3.评价方法</w:t>
      </w:r>
    </w:p>
    <w:p>
      <w:pPr>
        <w:spacing w:before="204" w:line="340" w:lineRule="auto"/>
        <w:ind w:left="9" w:right="134" w:firstLine="63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结合项目特点，评价方法主要采用目标预定与实施效果相比较，进行定性分析和定量分析</w:t>
      </w:r>
      <w:r>
        <w:rPr>
          <w:rFonts w:hint="eastAsia" w:ascii="仿宋_GB2312" w:hAnsi="仿宋_GB2312" w:eastAsia="仿宋_GB2312" w:cs="仿宋_GB2312"/>
          <w:color w:val="auto"/>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4.评价标准</w:t>
      </w:r>
    </w:p>
    <w:p>
      <w:pPr>
        <w:spacing w:before="182" w:line="341" w:lineRule="auto"/>
        <w:ind w:left="64" w:right="27"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绩效评价标准是指衡量财政支出绩效目标完成程度的尺度。绩效评价标准具体包括：计划标准、行业标准、历史标准、经财政部门和预算部门确认或认可的其他标准</w:t>
      </w:r>
      <w:r>
        <w:rPr>
          <w:rFonts w:hint="eastAsia" w:ascii="仿宋_GB2312" w:hAnsi="仿宋_GB2312" w:eastAsia="仿宋_GB2312" w:cs="仿宋_GB2312"/>
          <w:color w:val="auto"/>
          <w:spacing w:val="4"/>
          <w:sz w:val="32"/>
          <w:szCs w:val="32"/>
        </w:rPr>
        <w:t>。</w:t>
      </w:r>
    </w:p>
    <w:p>
      <w:pPr>
        <w:spacing w:before="1" w:line="222" w:lineRule="auto"/>
        <w:ind w:left="869"/>
        <w:outlineLvl w:val="2"/>
        <w:rPr>
          <w:rFonts w:ascii="楷体" w:hAnsi="楷体" w:eastAsia="楷体" w:cs="楷体"/>
          <w:color w:val="auto"/>
          <w:sz w:val="31"/>
          <w:szCs w:val="31"/>
        </w:rPr>
      </w:pPr>
      <w:r>
        <w:rPr>
          <w:rFonts w:ascii="楷体" w:hAnsi="楷体" w:eastAsia="楷体" w:cs="楷体"/>
          <w:b/>
          <w:bCs/>
          <w:color w:val="auto"/>
          <w:spacing w:val="23"/>
          <w:sz w:val="31"/>
          <w:szCs w:val="31"/>
        </w:rPr>
        <w:t>(三)绩效评价工作过程</w:t>
      </w:r>
    </w:p>
    <w:p>
      <w:pPr>
        <w:spacing w:before="213"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1"/>
          <w:sz w:val="32"/>
          <w:szCs w:val="32"/>
        </w:rPr>
        <w:t>1.前期准备(</w:t>
      </w:r>
      <w:r>
        <w:rPr>
          <w:rFonts w:hint="eastAsia" w:ascii="仿宋_GB2312" w:hAnsi="仿宋_GB2312" w:eastAsia="仿宋_GB2312" w:cs="仿宋_GB2312"/>
          <w:color w:val="auto"/>
          <w:spacing w:val="41"/>
          <w:sz w:val="32"/>
          <w:szCs w:val="32"/>
          <w:lang w:val="en-US" w:eastAsia="zh-CN"/>
        </w:rPr>
        <w:t>8</w:t>
      </w:r>
      <w:r>
        <w:rPr>
          <w:rFonts w:hint="eastAsia" w:ascii="仿宋_GB2312" w:hAnsi="仿宋_GB2312" w:eastAsia="仿宋_GB2312" w:cs="仿宋_GB2312"/>
          <w:color w:val="auto"/>
          <w:spacing w:val="41"/>
          <w:sz w:val="32"/>
          <w:szCs w:val="32"/>
        </w:rPr>
        <w:t>月</w:t>
      </w:r>
      <w:r>
        <w:rPr>
          <w:rFonts w:hint="eastAsia" w:ascii="仿宋_GB2312" w:hAnsi="仿宋_GB2312" w:eastAsia="仿宋_GB2312" w:cs="仿宋_GB2312"/>
          <w:color w:val="auto"/>
          <w:spacing w:val="41"/>
          <w:sz w:val="32"/>
          <w:szCs w:val="32"/>
          <w:lang w:val="en-US" w:eastAsia="zh-CN"/>
        </w:rPr>
        <w:t>1</w:t>
      </w:r>
      <w:r>
        <w:rPr>
          <w:rFonts w:hint="eastAsia" w:ascii="仿宋_GB2312" w:hAnsi="仿宋_GB2312" w:eastAsia="仿宋_GB2312" w:cs="仿宋_GB2312"/>
          <w:color w:val="auto"/>
          <w:spacing w:val="41"/>
          <w:sz w:val="32"/>
          <w:szCs w:val="32"/>
        </w:rPr>
        <w:t>日前)</w:t>
      </w:r>
    </w:p>
    <w:p>
      <w:pPr>
        <w:spacing w:before="192" w:line="339" w:lineRule="auto"/>
        <w:ind w:left="64" w:right="18"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组织项目绩效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9"/>
          <w:sz w:val="32"/>
          <w:szCs w:val="32"/>
        </w:rPr>
        <w:t>深入学习</w:t>
      </w:r>
      <w:r>
        <w:rPr>
          <w:rFonts w:hint="eastAsia" w:ascii="仿宋_GB2312" w:hAnsi="仿宋_GB2312" w:eastAsia="仿宋_GB2312" w:cs="仿宋_GB2312"/>
          <w:color w:val="auto"/>
          <w:spacing w:val="15"/>
          <w:sz w:val="32"/>
          <w:szCs w:val="32"/>
        </w:rPr>
        <w:t>海南省财政厅关于印发《海南省项目支出绩效评价管</w:t>
      </w:r>
      <w:r>
        <w:rPr>
          <w:rFonts w:hint="eastAsia" w:ascii="仿宋_GB2312" w:hAnsi="仿宋_GB2312" w:eastAsia="仿宋_GB2312" w:cs="仿宋_GB2312"/>
          <w:color w:val="auto"/>
          <w:spacing w:val="9"/>
          <w:sz w:val="32"/>
          <w:szCs w:val="32"/>
        </w:rPr>
        <w:t>理实施办法》的通知</w:t>
      </w:r>
      <w:r>
        <w:rPr>
          <w:rFonts w:hint="eastAsia" w:ascii="仿宋_GB2312" w:hAnsi="仿宋_GB2312" w:eastAsia="仿宋_GB2312" w:cs="仿宋_GB2312"/>
          <w:color w:val="auto"/>
          <w:spacing w:val="9"/>
          <w:sz w:val="32"/>
          <w:szCs w:val="32"/>
          <w:lang w:val="en-US" w:eastAsia="zh-CN"/>
        </w:rPr>
        <w:t>以及</w:t>
      </w:r>
      <w:r>
        <w:rPr>
          <w:rFonts w:hint="eastAsia" w:ascii="仿宋_GB2312" w:hAnsi="仿宋_GB2312" w:eastAsia="仿宋_GB2312" w:cs="仿宋_GB2312"/>
          <w:color w:val="auto"/>
          <w:spacing w:val="9"/>
          <w:sz w:val="32"/>
          <w:szCs w:val="32"/>
        </w:rPr>
        <w:t>关于印发《海南省本级财政支出预算事前绩效评估管理暂行办法》通知等文件，认真研究同时</w:t>
      </w:r>
      <w:r>
        <w:rPr>
          <w:rFonts w:hint="eastAsia" w:ascii="仿宋_GB2312" w:hAnsi="仿宋_GB2312" w:eastAsia="仿宋_GB2312" w:cs="仿宋_GB2312"/>
          <w:color w:val="auto"/>
          <w:spacing w:val="10"/>
          <w:sz w:val="32"/>
          <w:szCs w:val="32"/>
        </w:rPr>
        <w:t>结合实际情况</w:t>
      </w:r>
      <w:r>
        <w:rPr>
          <w:rFonts w:hint="eastAsia" w:ascii="仿宋_GB2312" w:hAnsi="仿宋_GB2312" w:eastAsia="仿宋_GB2312" w:cs="仿宋_GB2312"/>
          <w:color w:val="auto"/>
          <w:spacing w:val="22"/>
          <w:sz w:val="32"/>
          <w:szCs w:val="32"/>
        </w:rPr>
        <w:t>，制定</w:t>
      </w:r>
      <w:r>
        <w:rPr>
          <w:rFonts w:hint="eastAsia" w:ascii="仿宋_GB2312" w:hAnsi="仿宋_GB2312" w:eastAsia="仿宋_GB2312" w:cs="仿宋_GB2312"/>
          <w:color w:val="auto"/>
          <w:spacing w:val="22"/>
          <w:sz w:val="32"/>
          <w:szCs w:val="32"/>
          <w:lang w:val="en-US" w:eastAsia="zh-CN"/>
        </w:rPr>
        <w:t>2024年度我院</w:t>
      </w:r>
      <w:r>
        <w:rPr>
          <w:rFonts w:hint="eastAsia" w:ascii="仿宋_GB2312" w:hAnsi="仿宋_GB2312" w:eastAsia="仿宋_GB2312" w:cs="仿宋_GB2312"/>
          <w:color w:val="auto"/>
          <w:spacing w:val="22"/>
          <w:sz w:val="32"/>
          <w:szCs w:val="32"/>
          <w:lang w:eastAsia="zh-CN"/>
        </w:rPr>
        <w:t>执法办案</w:t>
      </w:r>
      <w:r>
        <w:rPr>
          <w:rFonts w:hint="eastAsia" w:ascii="仿宋_GB2312" w:hAnsi="仿宋_GB2312" w:eastAsia="仿宋_GB2312" w:cs="仿宋_GB2312"/>
          <w:color w:val="auto"/>
          <w:spacing w:val="22"/>
          <w:sz w:val="32"/>
          <w:szCs w:val="32"/>
        </w:rPr>
        <w:t>项目资金绩效评价指标</w:t>
      </w:r>
      <w:r>
        <w:rPr>
          <w:rFonts w:hint="eastAsia" w:ascii="仿宋_GB2312" w:hAnsi="仿宋_GB2312" w:eastAsia="仿宋_GB2312" w:cs="仿宋_GB2312"/>
          <w:color w:val="auto"/>
          <w:spacing w:val="7"/>
          <w:sz w:val="32"/>
          <w:szCs w:val="32"/>
        </w:rPr>
        <w:t>体系</w:t>
      </w:r>
      <w:r>
        <w:rPr>
          <w:rFonts w:hint="eastAsia" w:ascii="仿宋_GB2312" w:hAnsi="仿宋_GB2312" w:eastAsia="仿宋_GB2312" w:cs="仿宋_GB2312"/>
          <w:color w:val="auto"/>
          <w:spacing w:val="7"/>
          <w:sz w:val="32"/>
          <w:szCs w:val="32"/>
          <w:lang w:val="en-US" w:eastAsia="zh-CN"/>
        </w:rPr>
        <w:t>和</w:t>
      </w:r>
      <w:r>
        <w:rPr>
          <w:rFonts w:hint="eastAsia" w:ascii="仿宋_GB2312" w:hAnsi="仿宋_GB2312" w:eastAsia="仿宋_GB2312" w:cs="仿宋_GB2312"/>
          <w:color w:val="auto"/>
          <w:spacing w:val="7"/>
          <w:sz w:val="32"/>
          <w:szCs w:val="32"/>
        </w:rPr>
        <w:t>评价标准。</w:t>
      </w:r>
    </w:p>
    <w:p>
      <w:pPr>
        <w:spacing w:before="45"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2.数据采集和</w:t>
      </w:r>
      <w:r>
        <w:rPr>
          <w:rFonts w:hint="eastAsia" w:ascii="仿宋_GB2312" w:hAnsi="仿宋_GB2312" w:eastAsia="仿宋_GB2312" w:cs="仿宋_GB2312"/>
          <w:color w:val="auto"/>
          <w:spacing w:val="33"/>
          <w:sz w:val="32"/>
          <w:szCs w:val="32"/>
          <w:lang w:val="en-US" w:eastAsia="zh-CN"/>
        </w:rPr>
        <w:t>评价</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1</w:t>
      </w:r>
      <w:r>
        <w:rPr>
          <w:rFonts w:hint="eastAsia" w:ascii="仿宋_GB2312" w:hAnsi="仿宋_GB2312" w:eastAsia="仿宋_GB2312" w:cs="仿宋_GB2312"/>
          <w:color w:val="auto"/>
          <w:spacing w:val="33"/>
          <w:sz w:val="32"/>
          <w:szCs w:val="32"/>
        </w:rPr>
        <w:t>日</w:t>
      </w:r>
      <w:r>
        <w:rPr>
          <w:rFonts w:hint="eastAsia" w:ascii="仿宋_GB2312" w:hAnsi="仿宋_GB2312" w:eastAsia="仿宋_GB2312" w:cs="仿宋_GB2312"/>
          <w:color w:val="auto"/>
          <w:spacing w:val="33"/>
          <w:sz w:val="32"/>
          <w:szCs w:val="32"/>
          <w:lang w:val="en-US" w:eastAsia="zh-CN"/>
        </w:rPr>
        <w:t>-8月11日</w:t>
      </w:r>
      <w:r>
        <w:rPr>
          <w:rFonts w:hint="eastAsia" w:ascii="仿宋_GB2312" w:hAnsi="仿宋_GB2312" w:eastAsia="仿宋_GB2312" w:cs="仿宋_GB2312"/>
          <w:color w:val="auto"/>
          <w:spacing w:val="33"/>
          <w:sz w:val="32"/>
          <w:szCs w:val="32"/>
        </w:rPr>
        <w:t>)</w:t>
      </w:r>
    </w:p>
    <w:p>
      <w:pPr>
        <w:spacing w:before="189" w:line="339" w:lineRule="auto"/>
        <w:ind w:left="50" w:firstLine="66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项目</w:t>
      </w:r>
      <w:r>
        <w:rPr>
          <w:rFonts w:hint="eastAsia" w:ascii="仿宋_GB2312" w:hAnsi="仿宋_GB2312" w:eastAsia="仿宋_GB2312" w:cs="仿宋_GB2312"/>
          <w:color w:val="auto"/>
          <w:spacing w:val="9"/>
          <w:sz w:val="32"/>
          <w:szCs w:val="32"/>
        </w:rPr>
        <w:t>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10"/>
          <w:sz w:val="32"/>
          <w:szCs w:val="32"/>
        </w:rPr>
        <w:t>认真做好基础资料和相关数据的收集、整理工作，</w:t>
      </w:r>
      <w:r>
        <w:rPr>
          <w:rFonts w:hint="eastAsia" w:ascii="仿宋_GB2312" w:hAnsi="仿宋_GB2312" w:eastAsia="仿宋_GB2312" w:cs="仿宋_GB2312"/>
          <w:color w:val="auto"/>
          <w:spacing w:val="10"/>
          <w:sz w:val="32"/>
          <w:szCs w:val="32"/>
          <w:lang w:val="en-US" w:eastAsia="zh-CN"/>
        </w:rPr>
        <w:t>通过对</w:t>
      </w:r>
      <w:r>
        <w:rPr>
          <w:rFonts w:hint="eastAsia" w:ascii="仿宋_GB2312" w:hAnsi="仿宋_GB2312" w:eastAsia="仿宋_GB2312" w:cs="仿宋_GB2312"/>
          <w:color w:val="auto"/>
          <w:spacing w:val="10"/>
          <w:sz w:val="32"/>
          <w:szCs w:val="32"/>
        </w:rPr>
        <w:t>收集的数据、资料进行分析和评价，</w:t>
      </w:r>
      <w:r>
        <w:rPr>
          <w:rFonts w:hint="eastAsia" w:ascii="仿宋_GB2312" w:hAnsi="仿宋_GB2312" w:eastAsia="仿宋_GB2312" w:cs="仿宋_GB2312"/>
          <w:color w:val="auto"/>
          <w:spacing w:val="10"/>
          <w:sz w:val="32"/>
          <w:szCs w:val="32"/>
          <w:lang w:val="en-US" w:eastAsia="zh-CN"/>
        </w:rPr>
        <w:t>梳理出</w:t>
      </w:r>
      <w:r>
        <w:rPr>
          <w:rFonts w:hint="eastAsia" w:ascii="仿宋_GB2312" w:hAnsi="仿宋_GB2312" w:eastAsia="仿宋_GB2312" w:cs="仿宋_GB2312"/>
          <w:color w:val="auto"/>
          <w:spacing w:val="9"/>
          <w:sz w:val="32"/>
          <w:szCs w:val="32"/>
        </w:rPr>
        <w:t>项目支出绩效</w:t>
      </w:r>
      <w:r>
        <w:rPr>
          <w:rFonts w:hint="eastAsia" w:ascii="仿宋_GB2312" w:hAnsi="仿宋_GB2312" w:eastAsia="仿宋_GB2312" w:cs="仿宋_GB2312"/>
          <w:color w:val="auto"/>
          <w:spacing w:val="9"/>
          <w:sz w:val="32"/>
          <w:szCs w:val="32"/>
          <w:lang w:val="en-US" w:eastAsia="zh-CN"/>
        </w:rPr>
        <w:t>完成</w:t>
      </w:r>
      <w:r>
        <w:rPr>
          <w:rFonts w:hint="eastAsia" w:ascii="仿宋_GB2312" w:hAnsi="仿宋_GB2312" w:eastAsia="仿宋_GB2312" w:cs="仿宋_GB2312"/>
          <w:color w:val="auto"/>
          <w:spacing w:val="9"/>
          <w:sz w:val="32"/>
          <w:szCs w:val="32"/>
        </w:rPr>
        <w:t>结果，做到</w:t>
      </w:r>
      <w:r>
        <w:rPr>
          <w:rFonts w:hint="eastAsia" w:ascii="仿宋_GB2312" w:hAnsi="仿宋_GB2312" w:eastAsia="仿宋_GB2312" w:cs="仿宋_GB2312"/>
          <w:color w:val="auto"/>
          <w:spacing w:val="18"/>
          <w:sz w:val="32"/>
          <w:szCs w:val="32"/>
        </w:rPr>
        <w:t>内容完整、权重合理、数据真实、结果客观</w:t>
      </w:r>
      <w:r>
        <w:rPr>
          <w:rFonts w:hint="eastAsia" w:ascii="仿宋_GB2312" w:hAnsi="仿宋_GB2312" w:eastAsia="仿宋_GB2312" w:cs="仿宋_GB2312"/>
          <w:color w:val="auto"/>
          <w:spacing w:val="6"/>
          <w:sz w:val="32"/>
          <w:szCs w:val="32"/>
        </w:rPr>
        <w:t>。</w:t>
      </w:r>
    </w:p>
    <w:p>
      <w:pPr>
        <w:spacing w:before="41" w:line="220"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3.</w:t>
      </w:r>
      <w:r>
        <w:rPr>
          <w:rFonts w:hint="eastAsia" w:ascii="仿宋_GB2312" w:hAnsi="仿宋_GB2312" w:eastAsia="仿宋_GB2312" w:cs="仿宋_GB2312"/>
          <w:color w:val="auto"/>
          <w:spacing w:val="33"/>
          <w:sz w:val="32"/>
          <w:szCs w:val="32"/>
          <w:lang w:val="en-US" w:eastAsia="zh-CN"/>
        </w:rPr>
        <w:t>评价结果沟通和审核</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20</w:t>
      </w:r>
      <w:r>
        <w:rPr>
          <w:rFonts w:hint="eastAsia" w:ascii="仿宋_GB2312" w:hAnsi="仿宋_GB2312" w:eastAsia="仿宋_GB2312" w:cs="仿宋_GB2312"/>
          <w:color w:val="auto"/>
          <w:spacing w:val="33"/>
          <w:sz w:val="32"/>
          <w:szCs w:val="32"/>
        </w:rPr>
        <w:t>日前)</w:t>
      </w:r>
    </w:p>
    <w:p>
      <w:pPr>
        <w:spacing w:before="127" w:line="341" w:lineRule="auto"/>
        <w:ind w:right="165" w:firstLine="67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项目绩效评价</w:t>
      </w:r>
      <w:r>
        <w:rPr>
          <w:rFonts w:hint="eastAsia" w:ascii="仿宋_GB2312" w:hAnsi="仿宋_GB2312" w:eastAsia="仿宋_GB2312" w:cs="仿宋_GB2312"/>
          <w:color w:val="auto"/>
          <w:spacing w:val="9"/>
          <w:sz w:val="32"/>
          <w:szCs w:val="32"/>
          <w:lang w:val="en-US" w:eastAsia="zh-CN"/>
        </w:rPr>
        <w:t>成员将</w:t>
      </w:r>
      <w:r>
        <w:rPr>
          <w:rFonts w:hint="eastAsia" w:ascii="仿宋_GB2312" w:hAnsi="仿宋_GB2312" w:eastAsia="仿宋_GB2312" w:cs="仿宋_GB2312"/>
          <w:color w:val="auto"/>
          <w:spacing w:val="8"/>
          <w:sz w:val="32"/>
          <w:szCs w:val="32"/>
        </w:rPr>
        <w:t>《项</w:t>
      </w:r>
      <w:r>
        <w:rPr>
          <w:rFonts w:hint="eastAsia" w:ascii="仿宋_GB2312" w:hAnsi="仿宋_GB2312" w:eastAsia="仿宋_GB2312" w:cs="仿宋_GB2312"/>
          <w:color w:val="auto"/>
          <w:spacing w:val="7"/>
          <w:sz w:val="32"/>
          <w:szCs w:val="32"/>
        </w:rPr>
        <w:t>目支出绩效</w:t>
      </w:r>
      <w:r>
        <w:rPr>
          <w:rFonts w:hint="eastAsia" w:ascii="仿宋_GB2312" w:hAnsi="仿宋_GB2312" w:eastAsia="仿宋_GB2312" w:cs="仿宋_GB2312"/>
          <w:color w:val="auto"/>
          <w:spacing w:val="7"/>
          <w:sz w:val="32"/>
          <w:szCs w:val="32"/>
          <w:lang w:val="en-US" w:eastAsia="zh-CN"/>
        </w:rPr>
        <w:t>评价报告</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lang w:val="en-US" w:eastAsia="zh-CN"/>
        </w:rPr>
        <w:t>征求意见稿）提交</w:t>
      </w:r>
      <w:r>
        <w:rPr>
          <w:rFonts w:hint="eastAsia" w:ascii="仿宋_GB2312" w:hAnsi="仿宋_GB2312" w:eastAsia="仿宋_GB2312" w:cs="仿宋_GB2312"/>
          <w:color w:val="auto"/>
          <w:spacing w:val="9"/>
          <w:sz w:val="32"/>
          <w:szCs w:val="32"/>
        </w:rPr>
        <w:t>项目实施部门</w:t>
      </w:r>
      <w:r>
        <w:rPr>
          <w:rFonts w:hint="eastAsia" w:ascii="仿宋_GB2312" w:hAnsi="仿宋_GB2312" w:eastAsia="仿宋_GB2312" w:cs="仿宋_GB2312"/>
          <w:color w:val="auto"/>
          <w:spacing w:val="7"/>
          <w:sz w:val="32"/>
          <w:szCs w:val="32"/>
        </w:rPr>
        <w:t>进行审核，审核通过后，项目实施部门</w:t>
      </w:r>
      <w:r>
        <w:rPr>
          <w:rFonts w:hint="eastAsia" w:ascii="仿宋_GB2312" w:hAnsi="仿宋_GB2312" w:eastAsia="仿宋_GB2312" w:cs="仿宋_GB2312"/>
          <w:color w:val="auto"/>
          <w:spacing w:val="24"/>
          <w:sz w:val="32"/>
          <w:szCs w:val="32"/>
        </w:rPr>
        <w:t>按照要求</w:t>
      </w:r>
      <w:r>
        <w:rPr>
          <w:rFonts w:hint="eastAsia" w:ascii="仿宋_GB2312" w:hAnsi="仿宋_GB2312" w:eastAsia="仿宋_GB2312" w:cs="仿宋_GB2312"/>
          <w:color w:val="auto"/>
          <w:spacing w:val="9"/>
          <w:sz w:val="32"/>
          <w:szCs w:val="32"/>
        </w:rPr>
        <w:t>通过预算一体化系统报送至海南省财政厅对口业务</w:t>
      </w:r>
      <w:r>
        <w:rPr>
          <w:rFonts w:hint="eastAsia" w:ascii="仿宋_GB2312" w:hAnsi="仿宋_GB2312" w:eastAsia="仿宋_GB2312" w:cs="仿宋_GB2312"/>
          <w:color w:val="auto"/>
          <w:spacing w:val="-16"/>
          <w:sz w:val="32"/>
          <w:szCs w:val="32"/>
        </w:rPr>
        <w:t>处。</w:t>
      </w:r>
    </w:p>
    <w:p>
      <w:pPr>
        <w:spacing w:before="6" w:line="222" w:lineRule="auto"/>
        <w:ind w:left="664"/>
        <w:outlineLvl w:val="2"/>
        <w:rPr>
          <w:rFonts w:ascii="黑体" w:hAnsi="黑体" w:eastAsia="黑体" w:cs="黑体"/>
          <w:color w:val="auto"/>
          <w:sz w:val="31"/>
          <w:szCs w:val="31"/>
        </w:rPr>
      </w:pPr>
      <w:r>
        <w:rPr>
          <w:rFonts w:ascii="黑体" w:hAnsi="黑体" w:eastAsia="黑体" w:cs="黑体"/>
          <w:b/>
          <w:bCs/>
          <w:color w:val="auto"/>
          <w:spacing w:val="4"/>
          <w:sz w:val="31"/>
          <w:szCs w:val="31"/>
        </w:rPr>
        <w:t>三、综合评价情况及评价结论</w:t>
      </w:r>
    </w:p>
    <w:p>
      <w:pPr>
        <w:tabs>
          <w:tab w:val="left" w:pos="158"/>
        </w:tabs>
        <w:spacing w:before="211" w:line="338" w:lineRule="auto"/>
        <w:ind w:right="125" w:firstLine="6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围绕绩效评价指标体系，</w:t>
      </w:r>
      <w:r>
        <w:rPr>
          <w:rFonts w:hint="eastAsia" w:ascii="仿宋_GB2312" w:hAnsi="仿宋_GB2312" w:eastAsia="仿宋_GB2312" w:cs="仿宋_GB2312"/>
          <w:color w:val="auto"/>
          <w:spacing w:val="7"/>
          <w:sz w:val="32"/>
          <w:szCs w:val="32"/>
          <w:lang w:val="en-US" w:eastAsia="zh-CN"/>
        </w:rPr>
        <w:t>项目</w:t>
      </w:r>
      <w:r>
        <w:rPr>
          <w:rFonts w:hint="eastAsia" w:ascii="仿宋_GB2312" w:hAnsi="仿宋_GB2312" w:eastAsia="仿宋_GB2312" w:cs="仿宋_GB2312"/>
          <w:color w:val="auto"/>
          <w:spacing w:val="7"/>
          <w:sz w:val="32"/>
          <w:szCs w:val="32"/>
        </w:rPr>
        <w:t>绩效评价</w:t>
      </w:r>
      <w:r>
        <w:rPr>
          <w:rFonts w:hint="eastAsia" w:ascii="仿宋_GB2312" w:hAnsi="仿宋_GB2312" w:eastAsia="仿宋_GB2312" w:cs="仿宋_GB2312"/>
          <w:color w:val="auto"/>
          <w:spacing w:val="7"/>
          <w:sz w:val="32"/>
          <w:szCs w:val="32"/>
          <w:lang w:val="en-US" w:eastAsia="zh-CN"/>
        </w:rPr>
        <w:t>成员</w:t>
      </w:r>
      <w:r>
        <w:rPr>
          <w:rFonts w:hint="eastAsia" w:ascii="仿宋_GB2312" w:hAnsi="仿宋_GB2312" w:eastAsia="仿宋_GB2312" w:cs="仿宋_GB2312"/>
          <w:color w:val="auto"/>
          <w:spacing w:val="7"/>
          <w:sz w:val="32"/>
          <w:szCs w:val="32"/>
        </w:rPr>
        <w:t>通</w:t>
      </w:r>
      <w:r>
        <w:rPr>
          <w:rFonts w:hint="eastAsia" w:ascii="仿宋_GB2312" w:hAnsi="仿宋_GB2312" w:eastAsia="仿宋_GB2312" w:cs="仿宋_GB2312"/>
          <w:color w:val="auto"/>
          <w:spacing w:val="8"/>
          <w:sz w:val="32"/>
          <w:szCs w:val="32"/>
        </w:rPr>
        <w:t>过数据采集、定量分析、满意度调查等方式，对该项目绩效进行了客观、公正的评价，评价认为</w:t>
      </w:r>
      <w:r>
        <w:rPr>
          <w:rFonts w:hint="eastAsia" w:ascii="仿宋_GB2312" w:hAnsi="仿宋_GB2312" w:eastAsia="仿宋_GB2312" w:cs="仿宋_GB2312"/>
          <w:color w:val="auto"/>
          <w:spacing w:val="7"/>
          <w:sz w:val="32"/>
          <w:szCs w:val="32"/>
        </w:rPr>
        <w:t>，2024年</w:t>
      </w:r>
      <w:r>
        <w:rPr>
          <w:rFonts w:hint="eastAsia" w:ascii="仿宋_GB2312" w:hAnsi="仿宋_GB2312" w:eastAsia="仿宋_GB2312" w:cs="仿宋_GB2312"/>
          <w:color w:val="auto"/>
          <w:spacing w:val="7"/>
          <w:sz w:val="32"/>
          <w:szCs w:val="32"/>
          <w:lang w:val="en-US" w:eastAsia="zh-CN"/>
        </w:rPr>
        <w:t>我院执法办案项目</w:t>
      </w:r>
      <w:r>
        <w:rPr>
          <w:rFonts w:hint="eastAsia" w:ascii="仿宋_GB2312" w:hAnsi="仿宋_GB2312" w:eastAsia="仿宋_GB2312" w:cs="仿宋_GB2312"/>
          <w:color w:val="auto"/>
          <w:spacing w:val="15"/>
          <w:sz w:val="32"/>
          <w:szCs w:val="32"/>
        </w:rPr>
        <w:t>的实施较好</w:t>
      </w:r>
      <w:r>
        <w:rPr>
          <w:rFonts w:hint="eastAsia" w:ascii="仿宋_GB2312" w:hAnsi="仿宋_GB2312" w:eastAsia="仿宋_GB2312" w:cs="仿宋_GB2312"/>
          <w:color w:val="auto"/>
          <w:spacing w:val="15"/>
          <w:sz w:val="32"/>
          <w:szCs w:val="32"/>
          <w:lang w:val="en-US" w:eastAsia="zh-CN"/>
        </w:rPr>
        <w:t>地</w:t>
      </w:r>
      <w:r>
        <w:rPr>
          <w:rFonts w:hint="eastAsia" w:ascii="仿宋_GB2312" w:hAnsi="仿宋_GB2312" w:eastAsia="仿宋_GB2312" w:cs="仿宋_GB2312"/>
          <w:color w:val="auto"/>
          <w:spacing w:val="15"/>
          <w:sz w:val="32"/>
          <w:szCs w:val="32"/>
        </w:rPr>
        <w:t>完成了当年的绩效目标</w:t>
      </w:r>
      <w:r>
        <w:rPr>
          <w:rFonts w:hint="eastAsia" w:ascii="仿宋_GB2312" w:hAnsi="仿宋_GB2312" w:eastAsia="仿宋_GB2312" w:cs="仿宋_GB2312"/>
          <w:color w:val="auto"/>
          <w:spacing w:val="8"/>
          <w:sz w:val="32"/>
          <w:szCs w:val="32"/>
        </w:rPr>
        <w:t>任务，有效发挥了资金使用效益，基本达到了预定的各项工</w:t>
      </w:r>
      <w:r>
        <w:rPr>
          <w:rFonts w:hint="eastAsia" w:ascii="仿宋_GB2312" w:hAnsi="仿宋_GB2312" w:eastAsia="仿宋_GB2312" w:cs="仿宋_GB2312"/>
          <w:color w:val="auto"/>
          <w:spacing w:val="13"/>
          <w:sz w:val="32"/>
          <w:szCs w:val="32"/>
        </w:rPr>
        <w:t>作目标，评价得分为9</w:t>
      </w:r>
      <w:r>
        <w:rPr>
          <w:rFonts w:hint="eastAsia" w:ascii="仿宋_GB2312" w:hAnsi="仿宋_GB2312" w:eastAsia="仿宋_GB2312" w:cs="仿宋_GB2312"/>
          <w:color w:val="auto"/>
          <w:spacing w:val="13"/>
          <w:sz w:val="32"/>
          <w:szCs w:val="32"/>
          <w:lang w:val="en-US" w:eastAsia="zh-CN"/>
        </w:rPr>
        <w:t>9</w:t>
      </w:r>
      <w:r>
        <w:rPr>
          <w:rFonts w:hint="eastAsia" w:ascii="仿宋_GB2312" w:hAnsi="仿宋_GB2312" w:eastAsia="仿宋_GB2312" w:cs="仿宋_GB2312"/>
          <w:color w:val="auto"/>
          <w:spacing w:val="13"/>
          <w:sz w:val="32"/>
          <w:szCs w:val="32"/>
        </w:rPr>
        <w:t>分，绩效等级为“</w:t>
      </w:r>
      <w:r>
        <w:rPr>
          <w:rFonts w:hint="eastAsia" w:ascii="仿宋_GB2312" w:hAnsi="仿宋_GB2312" w:eastAsia="仿宋_GB2312" w:cs="仿宋_GB2312"/>
          <w:color w:val="auto"/>
          <w:spacing w:val="12"/>
          <w:sz w:val="32"/>
          <w:szCs w:val="32"/>
        </w:rPr>
        <w:t>优”。</w:t>
      </w:r>
    </w:p>
    <w:p>
      <w:pPr>
        <w:spacing w:before="1" w:line="220" w:lineRule="auto"/>
        <w:ind w:left="664"/>
        <w:outlineLvl w:val="2"/>
        <w:rPr>
          <w:rFonts w:ascii="黑体" w:hAnsi="黑体" w:eastAsia="黑体" w:cs="黑体"/>
          <w:color w:val="auto"/>
          <w:sz w:val="31"/>
          <w:szCs w:val="31"/>
        </w:rPr>
      </w:pPr>
      <w:r>
        <w:rPr>
          <w:rFonts w:ascii="黑体" w:hAnsi="黑体" w:eastAsia="黑体" w:cs="黑体"/>
          <w:b/>
          <w:bCs/>
          <w:color w:val="auto"/>
          <w:spacing w:val="6"/>
          <w:sz w:val="31"/>
          <w:szCs w:val="31"/>
        </w:rPr>
        <w:t>四、绩效评价指标分析</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依据《</w:t>
      </w:r>
      <w:r>
        <w:rPr>
          <w:rFonts w:hint="eastAsia" w:ascii="仿宋_GB2312" w:hAnsi="仿宋_GB2312" w:eastAsia="仿宋_GB2312" w:cs="仿宋_GB2312"/>
          <w:color w:val="auto"/>
          <w:spacing w:val="15"/>
          <w:sz w:val="32"/>
          <w:szCs w:val="32"/>
        </w:rPr>
        <w:t>海南省项目支出绩效评价管</w:t>
      </w:r>
      <w:r>
        <w:rPr>
          <w:rFonts w:hint="eastAsia" w:ascii="仿宋_GB2312" w:hAnsi="仿宋_GB2312" w:eastAsia="仿宋_GB2312" w:cs="仿宋_GB2312"/>
          <w:color w:val="auto"/>
          <w:spacing w:val="9"/>
          <w:sz w:val="32"/>
          <w:szCs w:val="32"/>
        </w:rPr>
        <w:t>理实施办法</w:t>
      </w:r>
      <w:r>
        <w:rPr>
          <w:rFonts w:hint="eastAsia" w:ascii="仿宋_GB2312" w:hAnsi="仿宋_GB2312" w:eastAsia="仿宋_GB2312" w:cs="仿宋_GB2312"/>
          <w:snapToGrid w:val="0"/>
          <w:color w:val="auto"/>
          <w:spacing w:val="9"/>
          <w:kern w:val="0"/>
          <w:sz w:val="32"/>
          <w:szCs w:val="32"/>
          <w:lang w:val="en-US" w:eastAsia="zh-CN" w:bidi="ar-SA"/>
        </w:rPr>
        <w:t>》等文件精神，结合三亚市城郊人民法院实际情况，本次具体从项目决策、项目管理、项目产出、项目效益四个方面进行评价，评价得分采用百分制。具体如下：</w:t>
      </w:r>
    </w:p>
    <w:p>
      <w:pPr>
        <w:spacing w:before="205" w:line="224" w:lineRule="auto"/>
        <w:ind w:left="804"/>
        <w:outlineLvl w:val="2"/>
        <w:rPr>
          <w:rFonts w:ascii="楷体" w:hAnsi="楷体" w:eastAsia="楷体" w:cs="楷体"/>
          <w:color w:val="auto"/>
          <w:sz w:val="31"/>
          <w:szCs w:val="31"/>
        </w:rPr>
      </w:pPr>
      <w:r>
        <w:rPr>
          <w:rFonts w:ascii="楷体" w:hAnsi="楷体" w:eastAsia="楷体" w:cs="楷体"/>
          <w:b/>
          <w:bCs/>
          <w:color w:val="auto"/>
          <w:spacing w:val="27"/>
          <w:sz w:val="31"/>
          <w:szCs w:val="31"/>
        </w:rPr>
        <w:t>(一)项目决策情况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项目立项情况分析(满分4分，得4分)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（1）立项依据充分性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指标说明：项目立项是否符合法律法规、相关政策 、 发展规划以及部门职责，用以反映和考核项目立项依据情况。</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立项是否符合国家法律法规、国民经济发展规划和相关政策；②项目立项是否符合行业发展规划和政策要求；③项目立项是否与部门职责范围相符，属于部门履职所需；④项目是否属于公共财政支持范围；⑤项目是否与相关部门同类项目或部门内部相关项目重复。以上要求全部符合得2分，否则不得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评价情况：该项目立项符合国家法律法规、国民经济发展规划和相关政策，符合相关行业发展规划的要求，且与部门职责范围相符，属于部门履职所需和公共财政支持的范围。</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（2）立项程序规范性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指标说明：项目申请、设立过程是否符合相关要求，用以反映和考核项目立项的规范情况。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按照规定的程序申请设立；②审批文件、材料是否符合相关要求；③事前是否已经过必要的可行性研究、专家论证、风险评估、绩效评估、集体决策。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评价情况：该项目根据《海南省财政厅关于批复2024年省级部门预算的通知》(琼财支审〔2024〕44号) 等文件要求，项目按照规定的程序申请设立；审批文件、材料符合相关要求；事前已经过必要的可行性研究、绩效评估、集体决策</w:t>
      </w:r>
      <w:r>
        <w:rPr>
          <w:rFonts w:hint="eastAsia" w:ascii="仿宋_GB2312" w:hAnsi="仿宋_GB2312" w:eastAsia="仿宋_GB2312" w:cs="仿宋_GB2312"/>
          <w:snapToGrid w:val="0"/>
          <w:color w:val="auto"/>
          <w:spacing w:val="9"/>
          <w:kern w:val="0"/>
          <w:sz w:val="32"/>
          <w:szCs w:val="32"/>
          <w:lang w:val="en-US" w:eastAsia="en-US" w:bidi="ar-SA"/>
        </w:rPr>
        <w:t>。</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绩效目标情况分析(满</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（1）绩效目标合理性（指标分值2分，得分2分）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指标说明：项目所设定的绩效目标是否依据充分，是否符合客观实际，用以反映和考核项目绩效目标与项目实施的相符情况。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有绩效目标；②项目绩效目标与实际工作内容是否具有相关性；③项目预期产出效益和效果是否符合正常的业绩水平；④是否与预算确定的项目投资额或资金量相匹配。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设立了明确的绩效目标；严格按照海南省财政厅关于预算考核工作的相关文件要求申报了项目绩效目标，项目绩效目标与实际工作内容一致；项目预期产出效益和效果符合正常的业绩水平；设定的绩效目标与项目资金量相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pacing w:val="9"/>
          <w:kern w:val="0"/>
          <w:sz w:val="32"/>
          <w:szCs w:val="32"/>
          <w:lang w:val="en-US" w:eastAsia="zh-CN" w:bidi="ar-SA"/>
        </w:rPr>
        <w:t>（2）绩效目标明确性（指标分值2分，得分1分）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指标说明：依据绩效目标设定的绩效指标是否清晰、细化、可衡量等，用以反映和考核项目绩效目标的明细化情况。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评分标准：①是否将项目绩效目标细化分解为具体的绩效指标（1分）；②是否通过清晰、可衡量的指标值予以体现（0.5分）；③是否与项目目标任务数或计划数相对应（0.5分）。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color w:val="auto"/>
          <w:spacing w:val="9"/>
          <w:sz w:val="32"/>
          <w:szCs w:val="32"/>
          <w:lang w:val="en-US" w:eastAsia="zh-CN"/>
        </w:rPr>
        <w:t>评价情况：该</w:t>
      </w:r>
      <w:r>
        <w:rPr>
          <w:rFonts w:hint="eastAsia" w:ascii="仿宋_GB2312" w:hAnsi="仿宋_GB2312" w:eastAsia="仿宋_GB2312" w:cs="仿宋_GB2312"/>
          <w:color w:val="auto"/>
          <w:spacing w:val="9"/>
          <w:sz w:val="32"/>
          <w:szCs w:val="32"/>
        </w:rPr>
        <w:t>项目申报时已将项目绩效目标分</w:t>
      </w:r>
      <w:r>
        <w:rPr>
          <w:rFonts w:hint="eastAsia" w:ascii="仿宋_GB2312" w:hAnsi="仿宋_GB2312" w:eastAsia="仿宋_GB2312" w:cs="仿宋_GB2312"/>
          <w:color w:val="auto"/>
          <w:spacing w:val="10"/>
          <w:sz w:val="32"/>
          <w:szCs w:val="32"/>
        </w:rPr>
        <w:t>解为具体的绩效指标</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但部分指标</w:t>
      </w:r>
      <w:r>
        <w:rPr>
          <w:rFonts w:hint="eastAsia" w:ascii="仿宋_GB2312" w:hAnsi="仿宋_GB2312" w:eastAsia="仿宋_GB2312" w:cs="仿宋_GB2312"/>
          <w:color w:val="auto"/>
          <w:spacing w:val="13"/>
          <w:sz w:val="32"/>
          <w:szCs w:val="32"/>
        </w:rPr>
        <w:t>还需要进一步细化、明晰</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snapToGrid w:val="0"/>
          <w:color w:val="auto"/>
          <w:spacing w:val="9"/>
          <w:kern w:val="0"/>
          <w:sz w:val="32"/>
          <w:szCs w:val="32"/>
          <w:lang w:val="en-US" w:eastAsia="zh-CN" w:bidi="ar-SA"/>
        </w:rPr>
        <w:t>本项扣1分</w:t>
      </w:r>
      <w:r>
        <w:rPr>
          <w:rFonts w:hint="eastAsia" w:ascii="仿宋_GB2312" w:hAnsi="仿宋_GB2312" w:eastAsia="仿宋_GB2312" w:cs="仿宋_GB2312"/>
          <w:color w:val="auto"/>
          <w:spacing w:val="10"/>
          <w:sz w:val="32"/>
          <w:szCs w:val="32"/>
        </w:rPr>
        <w:t>；通过比较清晰、可衡量的指标值予以</w:t>
      </w:r>
      <w:r>
        <w:rPr>
          <w:rFonts w:hint="eastAsia" w:ascii="仿宋_GB2312" w:hAnsi="仿宋_GB2312" w:eastAsia="仿宋_GB2312" w:cs="仿宋_GB2312"/>
          <w:color w:val="auto"/>
          <w:spacing w:val="11"/>
          <w:sz w:val="32"/>
          <w:szCs w:val="32"/>
        </w:rPr>
        <w:t>体现；</w:t>
      </w:r>
      <w:r>
        <w:rPr>
          <w:rFonts w:hint="eastAsia" w:ascii="仿宋_GB2312" w:hAnsi="仿宋_GB2312" w:eastAsia="仿宋_GB2312" w:cs="仿宋_GB2312"/>
          <w:color w:val="auto"/>
          <w:spacing w:val="11"/>
          <w:sz w:val="32"/>
          <w:szCs w:val="32"/>
          <w:lang w:val="en-US" w:eastAsia="zh-CN"/>
        </w:rPr>
        <w:t>能够</w:t>
      </w:r>
      <w:r>
        <w:rPr>
          <w:rFonts w:hint="eastAsia" w:ascii="仿宋_GB2312" w:hAnsi="仿宋_GB2312" w:eastAsia="仿宋_GB2312" w:cs="仿宋_GB2312"/>
          <w:color w:val="auto"/>
          <w:spacing w:val="11"/>
          <w:sz w:val="32"/>
          <w:szCs w:val="32"/>
        </w:rPr>
        <w:t>与项目目标任务数或计划数相对应</w:t>
      </w:r>
      <w:r>
        <w:rPr>
          <w:rFonts w:hint="eastAsia" w:ascii="仿宋_GB2312" w:hAnsi="仿宋_GB2312" w:eastAsia="仿宋_GB2312" w:cs="仿宋_GB2312"/>
          <w:snapToGrid w:val="0"/>
          <w:color w:val="auto"/>
          <w:spacing w:val="9"/>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3、资金投入情况分析(满分</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（1）预算编制科学性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指标说明：项目预算编制是否经过科学论证、有明确标准，资金额度与年度目标是否相适应，用以反映和考核项目预算编制的科学性、合理性情况。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编制是否经过科学论证（0.5分）；②预算内容与项目内容是否匹配（0.5分）；③预算额度测算依据是否充分，是否按照标准编制（0.5分）；④预算确定的项目投资额或资金量是否与工作任务相匹配（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lang w:val="en-US" w:eastAsia="zh-CN"/>
        </w:rPr>
        <w:t>评价情况：</w:t>
      </w:r>
      <w:r>
        <w:rPr>
          <w:rFonts w:hint="eastAsia" w:ascii="仿宋_GB2312" w:hAnsi="仿宋_GB2312" w:eastAsia="仿宋_GB2312" w:cs="仿宋_GB2312"/>
          <w:color w:val="auto"/>
          <w:spacing w:val="9"/>
          <w:sz w:val="32"/>
          <w:szCs w:val="32"/>
        </w:rPr>
        <w:t>该项目预算编制经过科学</w:t>
      </w:r>
      <w:r>
        <w:rPr>
          <w:rFonts w:hint="eastAsia" w:ascii="仿宋_GB2312" w:hAnsi="仿宋_GB2312" w:eastAsia="仿宋_GB2312" w:cs="仿宋_GB2312"/>
          <w:color w:val="auto"/>
          <w:spacing w:val="8"/>
          <w:sz w:val="32"/>
          <w:szCs w:val="32"/>
        </w:rPr>
        <w:t>论证；预</w:t>
      </w:r>
      <w:r>
        <w:rPr>
          <w:rFonts w:hint="eastAsia" w:ascii="仿宋_GB2312" w:hAnsi="仿宋_GB2312" w:eastAsia="仿宋_GB2312" w:cs="仿宋_GB2312"/>
          <w:color w:val="auto"/>
          <w:spacing w:val="9"/>
          <w:sz w:val="32"/>
          <w:szCs w:val="32"/>
        </w:rPr>
        <w:t>算内容与项目内容</w:t>
      </w:r>
      <w:r>
        <w:rPr>
          <w:rFonts w:hint="eastAsia" w:ascii="仿宋_GB2312" w:hAnsi="仿宋_GB2312" w:eastAsia="仿宋_GB2312" w:cs="仿宋_GB2312"/>
          <w:color w:val="auto"/>
          <w:spacing w:val="9"/>
          <w:sz w:val="32"/>
          <w:szCs w:val="32"/>
          <w:lang w:val="en-US" w:eastAsia="zh-CN"/>
        </w:rPr>
        <w:t>较</w:t>
      </w:r>
      <w:r>
        <w:rPr>
          <w:rFonts w:hint="eastAsia" w:ascii="仿宋_GB2312" w:hAnsi="仿宋_GB2312" w:eastAsia="仿宋_GB2312" w:cs="仿宋_GB2312"/>
          <w:color w:val="auto"/>
          <w:spacing w:val="9"/>
          <w:sz w:val="32"/>
          <w:szCs w:val="32"/>
        </w:rPr>
        <w:t>匹配；预算额度测算依据比较充分，</w:t>
      </w:r>
      <w:r>
        <w:rPr>
          <w:rFonts w:hint="eastAsia" w:ascii="仿宋_GB2312" w:hAnsi="仿宋_GB2312" w:eastAsia="仿宋_GB2312" w:cs="仿宋_GB2312"/>
          <w:color w:val="auto"/>
          <w:spacing w:val="9"/>
          <w:sz w:val="32"/>
          <w:szCs w:val="32"/>
          <w:lang w:val="en-US" w:eastAsia="zh-CN"/>
        </w:rPr>
        <w:t>能够</w:t>
      </w:r>
      <w:r>
        <w:rPr>
          <w:rFonts w:hint="eastAsia" w:ascii="仿宋_GB2312" w:hAnsi="仿宋_GB2312" w:eastAsia="仿宋_GB2312" w:cs="仿宋_GB2312"/>
          <w:color w:val="auto"/>
          <w:spacing w:val="9"/>
          <w:sz w:val="32"/>
          <w:szCs w:val="32"/>
        </w:rPr>
        <w:t>按照计划编制；预算确定的项目资金量与工作任务基本匹配。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（2）资金分配合理性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指标说明：项目预算资金分配是否有测算依据，与补助单位或地方实际是否相适应，用以反映和考核项目预算资金分配的科学性、合理性情况。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评分标准：①预算资金分配依据是否充分（1分）；②资金分配额度是否合理，与项目单位或地方实际是否相适应（1分）。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评价情况：该项目预算资金测算较准确，依据充分；资金分配安排合理，能够满足当年实际资金需求。</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(二)项目过程情况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资金管理情况分析(满分</w:t>
      </w:r>
      <w:r>
        <w:rPr>
          <w:rFonts w:hint="eastAsia" w:ascii="仿宋_GB2312" w:hAnsi="仿宋_GB2312" w:eastAsia="仿宋_GB2312" w:cs="仿宋_GB2312"/>
          <w:color w:val="auto"/>
          <w:spacing w:val="35"/>
          <w:sz w:val="32"/>
          <w:szCs w:val="32"/>
          <w:lang w:val="en-US" w:eastAsia="zh-CN"/>
        </w:rPr>
        <w:t>18</w:t>
      </w:r>
      <w:r>
        <w:rPr>
          <w:rFonts w:hint="eastAsia" w:ascii="仿宋_GB2312" w:hAnsi="仿宋_GB2312" w:eastAsia="仿宋_GB2312" w:cs="仿宋_GB2312"/>
          <w:color w:val="auto"/>
          <w:spacing w:val="35"/>
          <w:sz w:val="32"/>
          <w:szCs w:val="32"/>
        </w:rPr>
        <w:t>分，得1</w:t>
      </w:r>
      <w:r>
        <w:rPr>
          <w:rFonts w:hint="eastAsia" w:ascii="仿宋_GB2312" w:hAnsi="仿宋_GB2312" w:eastAsia="仿宋_GB2312" w:cs="仿宋_GB2312"/>
          <w:color w:val="auto"/>
          <w:spacing w:val="35"/>
          <w:sz w:val="32"/>
          <w:szCs w:val="32"/>
          <w:lang w:val="en-US" w:eastAsia="zh-CN"/>
        </w:rPr>
        <w:t>8</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（1)资金到位情况</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指标说明：实际到位资金与预算资金的比率，用以反映和考核资金落实情况对项目实施的总体保障程度。</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评分标准：资金到位率=（实际到位资金/预算资金）×100%。全部到位得5分，到位率低于90%得4分，到位率低于70%得3分，到位率低于50%得0分。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评价情况：截止绩效评价基准日，该项目专项资金指标1,365.56万元已全部到位，资金到位率100.00%。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（2）预算执行率（指标分值5分，得分5分）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指标说明：项目预算资金是否按照计划执行，用以反映或考核项目预算执行情况。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评分标准：预算执行率=（预算执行数/预算批复数）×100%。执行率不低于90%得5分，执行率低于80%得4分，到位率低于70%得3分，到位率低于60%得0分。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w:t>
      </w:r>
      <w:bookmarkStart w:id="120" w:name="_GoBack"/>
      <w:bookmarkEnd w:id="120"/>
      <w:r>
        <w:rPr>
          <w:rFonts w:hint="eastAsia" w:ascii="仿宋_GB2312" w:hAnsi="仿宋_GB2312" w:eastAsia="仿宋_GB2312" w:cs="仿宋_GB2312"/>
          <w:color w:val="auto"/>
          <w:spacing w:val="9"/>
          <w:sz w:val="32"/>
          <w:szCs w:val="32"/>
          <w:lang w:val="en-US" w:eastAsia="zh-CN"/>
        </w:rPr>
        <w:t>日，该项目实际支出金额为1,360.03万元，资金执行率=（1360.03/1365.56）×100%=99.6%。</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（3）资金使用合规性（指标分值8分，得分8分）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指标说明：项目资金使用是否符合相关的财务管理制度规定，用以反映和考核项目资金的规范运行情况。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符合国家财经法规和财务管理制度以及有关专项资金管理办法的规定（2分）；②资金的拨付是否有完整的审批程序和手续（2分）；③是否符合项目预算批复或合同规定的用途（2分）；④是否存在截留、挤占、挪用、虚列支出等情况（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支出符合国家财经法规和财务管理制度以及有关专项资金管理办法的规定；资金的拨付有完整的审批程序和手续；符合项目预算批复规定的用途；未发现截留、挤占、挪用、虚列、超标准支出等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76" w:firstLineChars="200"/>
        <w:jc w:val="both"/>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组织实施情况分析(满分1</w:t>
      </w:r>
      <w:r>
        <w:rPr>
          <w:rFonts w:hint="eastAsia" w:ascii="仿宋_GB2312" w:hAnsi="仿宋_GB2312" w:eastAsia="仿宋_GB2312" w:cs="仿宋_GB2312"/>
          <w:color w:val="auto"/>
          <w:spacing w:val="35"/>
          <w:sz w:val="32"/>
          <w:szCs w:val="32"/>
          <w:lang w:val="en-US" w:eastAsia="zh-CN"/>
        </w:rPr>
        <w:t>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10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（1）管理制度健全性（指标分值5分，得分5分）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指标说明：项目实施单位的财务和业务管理制度是否健全，用以反映和考核财务和业务管理制度对项目顺利实施的保障情况。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评分标准：①是否已制定或具有相应的财务和业务管理制度（3分）；②财务和业务管理制度是否合法、合规、完整（2分）。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评价情况：三亚市城郊人民法院制定了《三亚市城郊人民法院内部控制规范手册》等内部管理制度，管理制度合法、合规、完整，为项目的实施提供了有效的制度保障。</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（2）制度执行有效性（指标分值5分，得分5分）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指标说明：项目实施是否符合相关管理规定，用以反映和考核相关管理制度的有效执行情况。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遵守相关法律法规和相关管理规定（1分）；②项目调整及支出调整手续是否完备（1分）；③项目合同书、验收报告、技术鉴定等资料是否齐全并及时归档（2分）；④项目实施的人员条件、场地设备、信息支撑等是否落实到位（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严格按照国家及地方相关法律法规和内控制度有关规定开展采购、验收、付款等业务。每笔资金开支，须经具体实施部门提出申请，领导审签，国库支付中心审核，经过层层严格把关，保证了资金支付安全、合法、合规，有效地加强了项目资金管理。</w:t>
      </w:r>
    </w:p>
    <w:p>
      <w:pPr>
        <w:spacing w:before="186" w:line="311" w:lineRule="auto"/>
        <w:ind w:right="55" w:firstLine="64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z w:val="32"/>
          <w:szCs w:val="32"/>
          <w:highlight w:val="none"/>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z w:val="32"/>
          <w:szCs w:val="32"/>
          <w:highlight w:val="none"/>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(三)项目绩效情况</w:t>
      </w:r>
    </w:p>
    <w:p>
      <w:pPr>
        <w:spacing w:before="210"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w:t>
      </w:r>
      <w:r>
        <w:rPr>
          <w:rFonts w:hint="eastAsia" w:ascii="仿宋_GB2312" w:hAnsi="仿宋_GB2312" w:eastAsia="仿宋_GB2312" w:cs="仿宋_GB2312"/>
          <w:color w:val="auto"/>
          <w:spacing w:val="35"/>
          <w:sz w:val="32"/>
          <w:szCs w:val="32"/>
          <w:lang w:val="en-US" w:eastAsia="zh-CN"/>
        </w:rPr>
        <w:t>产出</w:t>
      </w:r>
      <w:r>
        <w:rPr>
          <w:rFonts w:hint="eastAsia" w:ascii="仿宋_GB2312" w:hAnsi="仿宋_GB2312" w:eastAsia="仿宋_GB2312" w:cs="仿宋_GB2312"/>
          <w:color w:val="auto"/>
          <w:spacing w:val="35"/>
          <w:sz w:val="32"/>
          <w:szCs w:val="32"/>
        </w:rPr>
        <w:t>情况分析(满分</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bookmarkStart w:id="119" w:name="_Toc30677"/>
      <w:r>
        <w:rPr>
          <w:rFonts w:hint="eastAsia" w:ascii="仿宋_GB2312" w:hAnsi="仿宋_GB2312" w:eastAsia="仿宋_GB2312" w:cs="仿宋_GB2312"/>
          <w:color w:val="auto"/>
          <w:spacing w:val="6"/>
          <w:sz w:val="32"/>
          <w:szCs w:val="32"/>
          <w:lang w:val="en-US" w:eastAsia="zh-CN"/>
        </w:rPr>
        <w:t>（1）产出数量（指标分值15分，得分15分）</w:t>
      </w:r>
      <w:bookmarkEnd w:id="119"/>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根据项目产出数量完成情况与绩效目标对比，截止绩效评价基准日，2024年三亚市城郊人民法院执法办案业务项目案卷扫描页数3090745页，超过设定的绩效目标值，产出指标完成率100%。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（2）产出数量（指标分值15分，得分15分）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w:t>
      </w:r>
      <w:r>
        <w:rPr>
          <w:rFonts w:hint="eastAsia" w:ascii="仿宋_GB2312" w:hAnsi="仿宋_GB2312" w:eastAsia="仿宋_GB2312" w:cs="仿宋_GB2312"/>
          <w:b w:val="0"/>
          <w:bCs w:val="0"/>
          <w:color w:val="auto"/>
          <w:kern w:val="2"/>
          <w:sz w:val="32"/>
          <w:szCs w:val="32"/>
          <w:lang w:val="en-US" w:eastAsia="zh-CN" w:bidi="ar-SA"/>
        </w:rPr>
        <w:t>2024年</w:t>
      </w:r>
      <w:r>
        <w:rPr>
          <w:rFonts w:hint="eastAsia" w:ascii="仿宋_GB2312" w:hAnsi="仿宋_GB2312" w:eastAsia="仿宋_GB2312" w:cs="仿宋_GB2312"/>
          <w:color w:val="auto"/>
          <w:spacing w:val="9"/>
          <w:sz w:val="32"/>
          <w:szCs w:val="32"/>
          <w:lang w:val="en-US" w:eastAsia="zh-CN"/>
        </w:rPr>
        <w:t>三亚市城郊人民法院</w:t>
      </w:r>
      <w:r>
        <w:rPr>
          <w:rFonts w:hint="eastAsia" w:ascii="仿宋_GB2312" w:hAnsi="仿宋_GB2312" w:eastAsia="仿宋_GB2312" w:cs="仿宋_GB2312"/>
          <w:b w:val="0"/>
          <w:bCs w:val="0"/>
          <w:color w:val="auto"/>
          <w:kern w:val="2"/>
          <w:sz w:val="32"/>
          <w:szCs w:val="32"/>
          <w:lang w:val="en-US" w:eastAsia="zh-CN" w:bidi="ar-SA"/>
        </w:rPr>
        <w:t>执法办案业务项目陪审员补助支持案件数5100件，</w:t>
      </w:r>
      <w:r>
        <w:rPr>
          <w:rFonts w:hint="eastAsia" w:ascii="仿宋_GB2312" w:hAnsi="仿宋_GB2312" w:eastAsia="仿宋_GB2312" w:cs="仿宋_GB2312"/>
          <w:color w:val="auto"/>
          <w:spacing w:val="9"/>
          <w:sz w:val="32"/>
          <w:szCs w:val="32"/>
          <w:lang w:val="en-US" w:eastAsia="zh-CN"/>
        </w:rPr>
        <w:t>超过设定的绩效目标值，</w:t>
      </w:r>
      <w:r>
        <w:rPr>
          <w:rFonts w:hint="eastAsia" w:ascii="仿宋_GB2312" w:hAnsi="仿宋_GB2312" w:eastAsia="仿宋_GB2312" w:cs="仿宋_GB2312"/>
          <w:b w:val="0"/>
          <w:bCs w:val="0"/>
          <w:color w:val="auto"/>
          <w:kern w:val="2"/>
          <w:sz w:val="32"/>
          <w:szCs w:val="32"/>
          <w:lang w:val="en-US" w:eastAsia="zh-CN" w:bidi="ar-SA"/>
        </w:rPr>
        <w:t>产出指标完成率100%</w:t>
      </w:r>
      <w:r>
        <w:rPr>
          <w:rFonts w:hint="eastAsia" w:ascii="仿宋_GB2312" w:hAnsi="仿宋_GB2312" w:eastAsia="仿宋_GB2312" w:cs="仿宋_GB2312"/>
          <w:color w:val="auto"/>
          <w:spacing w:val="9"/>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lang w:val="en-US" w:eastAsia="zh-CN"/>
        </w:rPr>
        <w:t>2.</w:t>
      </w:r>
      <w:r>
        <w:rPr>
          <w:rFonts w:hint="eastAsia" w:ascii="仿宋_GB2312" w:hAnsi="仿宋_GB2312" w:eastAsia="仿宋_GB2312" w:cs="仿宋_GB2312"/>
          <w:color w:val="auto"/>
          <w:spacing w:val="35"/>
          <w:sz w:val="32"/>
          <w:szCs w:val="32"/>
        </w:rPr>
        <w:t>项目效益情况分析(满分15分，得15分)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根据项目产出质量完成情况与绩效目标对比，截止绩效评价基准日，2024年三亚市城郊人民法院执法办案业务项目结案率为91.25%，超过设定的绩效目标值，效益指标完成率100%。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lang w:val="en-US" w:eastAsia="zh-CN"/>
        </w:rPr>
      </w:pPr>
      <w:r>
        <w:rPr>
          <w:rFonts w:hint="eastAsia" w:ascii="仿宋_GB2312" w:hAnsi="仿宋_GB2312" w:eastAsia="仿宋_GB2312" w:cs="仿宋_GB2312"/>
          <w:color w:val="auto"/>
          <w:spacing w:val="35"/>
          <w:sz w:val="32"/>
          <w:szCs w:val="32"/>
          <w:lang w:val="en-US" w:eastAsia="zh-CN"/>
        </w:rPr>
        <w:t>3.满意度指标(满分15分，得15分)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通过采取问卷调查的方式进行了满意度调查，共随机发放了20份调查问卷，最终得分取所有问卷得分的平均得分，最终总分为95分(满意度为95%),完成绩效目标。</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 w:hAnsi="仿宋" w:eastAsia="仿宋" w:cs="仿宋"/>
          <w:color w:val="auto"/>
          <w:spacing w:val="9"/>
          <w:sz w:val="31"/>
          <w:szCs w:val="31"/>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五、主要经验及做法、存在的问题及原因分析</w:t>
      </w:r>
    </w:p>
    <w:p>
      <w:pPr>
        <w:spacing w:before="203" w:line="229" w:lineRule="auto"/>
        <w:ind w:left="849"/>
        <w:outlineLvl w:val="2"/>
        <w:rPr>
          <w:rFonts w:ascii="楷体" w:hAnsi="楷体" w:eastAsia="楷体" w:cs="楷体"/>
          <w:color w:val="auto"/>
          <w:sz w:val="31"/>
          <w:szCs w:val="31"/>
        </w:rPr>
      </w:pPr>
      <w:r>
        <w:rPr>
          <w:rFonts w:ascii="楷体" w:hAnsi="楷体" w:eastAsia="楷体" w:cs="楷体"/>
          <w:b/>
          <w:bCs/>
          <w:color w:val="auto"/>
          <w:spacing w:val="22"/>
          <w:sz w:val="31"/>
          <w:szCs w:val="31"/>
        </w:rPr>
        <w:t>(一)项目实施经验及做法</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严格按照项目管理制度和财务管理制度实施，对项目管理和监督，确保项目运行规范，资金使用合法合规；认真把关各项经费支出，规范专项资金管理，在具体实施过程中，坚持严格审批程序，不按程序申报的不批、条件不符的不批、手续缺项的不批；建立资金专户，专款专用，防止专项资金被挤占、挪用情况的发生；同时，采用国库集中支付，设立专项资金明细科目，实行报账制，专门核算，保证财政资金安全，提高财政资金的投资效益。</w:t>
      </w:r>
    </w:p>
    <w:p>
      <w:pPr>
        <w:spacing w:before="203" w:line="229" w:lineRule="auto"/>
        <w:ind w:left="849"/>
        <w:outlineLvl w:val="2"/>
        <w:rPr>
          <w:rFonts w:ascii="楷体" w:hAnsi="楷体" w:eastAsia="楷体" w:cs="楷体"/>
          <w:b/>
          <w:bCs/>
          <w:color w:val="auto"/>
          <w:spacing w:val="22"/>
          <w:sz w:val="31"/>
          <w:szCs w:val="31"/>
        </w:rPr>
      </w:pPr>
      <w:r>
        <w:rPr>
          <w:rFonts w:ascii="楷体" w:hAnsi="楷体" w:eastAsia="楷体" w:cs="楷体"/>
          <w:b/>
          <w:bCs/>
          <w:color w:val="auto"/>
          <w:spacing w:val="22"/>
          <w:sz w:val="31"/>
          <w:szCs w:val="31"/>
        </w:rPr>
        <w:t>(二)存在的问题及原因分析</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项目支出进度序时性及绩效目标合理性、科学性仍有欠缺，今后我院将在预算下达后，及时向负责相关支出项目的处室传达预算下达情况，并研究年度支出规划，及时跟进规划执行情况，达到支付条件的项目及时支出。日常干警个人支出项目，将严格报销时限，督促干警及时报销支出。由于该项目是我院办案支出，故绩效目标应更加体现支出产生的办案效果，故今后将优化绩效目标，使之能更加科学合理，更好地体现项目支出对于案件审判执行的支撑效果。</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六、有关建议</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一是全面落实上级法院各项工作部署，忠实履行宪法法 律赋予的职责使命，充分发挥政府转移支付专项资金效益， 确保专款专用。通过落实经费保障，切实提升办案质效，着力建设智慧法院，努力推动法院工作在新时代实现新发展；二是细化预算编制工作，认真做好项目资金各明细支出预算的编制，进一步提高预算编制的科学性、合理性、严谨性和可控性；三是加强财务监控和情况反馈，对项目资金进行认真详细事前、事中、事后的检查分析，确保项目资金安全有效运行；四是严格执行预算计划，切实做到当年经费当年开支；五是提高指标值设置的科学性，在绩效指标选定后，充分考虑法院工作特殊性及不确定性，参考相关历史标准、行业标准、计划标准等，在考虑可实现性的基础上科学设定指标值，充分预估项目产出和效益。</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七、其他需要说明的问题</w:t>
      </w:r>
    </w:p>
    <w:p>
      <w:pPr>
        <w:spacing w:before="212" w:line="222" w:lineRule="auto"/>
        <w:ind w:left="6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无其他需要说明的问题。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eastAsia="仿宋_GB2312"/>
          <w:color w:val="auto"/>
          <w:sz w:val="32"/>
          <w:szCs w:val="32"/>
          <w:lang w:val="en-US" w:eastAsia="zh-CN"/>
        </w:rPr>
      </w:pPr>
    </w:p>
    <w:sectPr>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994"/>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18</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C0DF9C0D"/>
    <w:multiLevelType w:val="singleLevel"/>
    <w:tmpl w:val="C0DF9C0D"/>
    <w:lvl w:ilvl="0" w:tentative="0">
      <w:start w:val="1"/>
      <w:numFmt w:val="chineseCounting"/>
      <w:suff w:val="nothing"/>
      <w:lvlText w:val="%1、"/>
      <w:lvlJc w:val="left"/>
      <w:rPr>
        <w:rFonts w:hint="eastAsia"/>
      </w:rPr>
    </w:lvl>
  </w:abstractNum>
  <w:abstractNum w:abstractNumId="2">
    <w:nsid w:val="00950414"/>
    <w:multiLevelType w:val="singleLevel"/>
    <w:tmpl w:val="00950414"/>
    <w:lvl w:ilvl="0" w:tentative="0">
      <w:start w:val="4"/>
      <w:numFmt w:val="chineseCounting"/>
      <w:suff w:val="nothing"/>
      <w:lvlText w:val="（%1）"/>
      <w:lvlJc w:val="left"/>
      <w:rPr>
        <w:rFonts w:hint="eastAsia"/>
      </w:rPr>
    </w:lvl>
  </w:abstractNum>
  <w:abstractNum w:abstractNumId="3">
    <w:nsid w:val="4FB15FCC"/>
    <w:multiLevelType w:val="singleLevel"/>
    <w:tmpl w:val="4FB15FCC"/>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06AEB"/>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E2108E"/>
    <w:rsid w:val="02056998"/>
    <w:rsid w:val="02CA4E13"/>
    <w:rsid w:val="0320290F"/>
    <w:rsid w:val="03CE5A30"/>
    <w:rsid w:val="0481179B"/>
    <w:rsid w:val="04906571"/>
    <w:rsid w:val="04F46259"/>
    <w:rsid w:val="07006384"/>
    <w:rsid w:val="0748703F"/>
    <w:rsid w:val="077901F2"/>
    <w:rsid w:val="08373C6E"/>
    <w:rsid w:val="09201287"/>
    <w:rsid w:val="0A85373D"/>
    <w:rsid w:val="0B552D53"/>
    <w:rsid w:val="0C4D613D"/>
    <w:rsid w:val="0E47223D"/>
    <w:rsid w:val="0E734199"/>
    <w:rsid w:val="0E7735D7"/>
    <w:rsid w:val="0EA44169"/>
    <w:rsid w:val="0EE17A18"/>
    <w:rsid w:val="0FC80124"/>
    <w:rsid w:val="102B295D"/>
    <w:rsid w:val="10F149C5"/>
    <w:rsid w:val="11BF5285"/>
    <w:rsid w:val="12296E6F"/>
    <w:rsid w:val="133606D3"/>
    <w:rsid w:val="134817C2"/>
    <w:rsid w:val="135F1805"/>
    <w:rsid w:val="136F98C7"/>
    <w:rsid w:val="13812F37"/>
    <w:rsid w:val="13ED2CBE"/>
    <w:rsid w:val="1498033C"/>
    <w:rsid w:val="14982498"/>
    <w:rsid w:val="157F5E0F"/>
    <w:rsid w:val="15D2354B"/>
    <w:rsid w:val="16093209"/>
    <w:rsid w:val="1682639A"/>
    <w:rsid w:val="169D00A8"/>
    <w:rsid w:val="169D0FE1"/>
    <w:rsid w:val="169F024F"/>
    <w:rsid w:val="173B2289"/>
    <w:rsid w:val="17427E68"/>
    <w:rsid w:val="1755065F"/>
    <w:rsid w:val="179D02AB"/>
    <w:rsid w:val="17BD09D8"/>
    <w:rsid w:val="1800653A"/>
    <w:rsid w:val="18532380"/>
    <w:rsid w:val="18650384"/>
    <w:rsid w:val="18794B28"/>
    <w:rsid w:val="19ED5BFC"/>
    <w:rsid w:val="1A0803E6"/>
    <w:rsid w:val="1A0F267E"/>
    <w:rsid w:val="1AFC29C9"/>
    <w:rsid w:val="1BCC3DF5"/>
    <w:rsid w:val="1C242D51"/>
    <w:rsid w:val="1C76559A"/>
    <w:rsid w:val="1CA52F2E"/>
    <w:rsid w:val="1D6815BF"/>
    <w:rsid w:val="1E086045"/>
    <w:rsid w:val="1E232569"/>
    <w:rsid w:val="1E3630B9"/>
    <w:rsid w:val="1E5552A0"/>
    <w:rsid w:val="1E705794"/>
    <w:rsid w:val="1F7F4739"/>
    <w:rsid w:val="20680669"/>
    <w:rsid w:val="211519AD"/>
    <w:rsid w:val="215D5F65"/>
    <w:rsid w:val="21A53796"/>
    <w:rsid w:val="21B8680E"/>
    <w:rsid w:val="228518FE"/>
    <w:rsid w:val="22985EE3"/>
    <w:rsid w:val="23EF0BE7"/>
    <w:rsid w:val="24702268"/>
    <w:rsid w:val="25751614"/>
    <w:rsid w:val="25DB3F8C"/>
    <w:rsid w:val="263C2E87"/>
    <w:rsid w:val="26EEC2B5"/>
    <w:rsid w:val="27236030"/>
    <w:rsid w:val="29091278"/>
    <w:rsid w:val="2915486D"/>
    <w:rsid w:val="29472309"/>
    <w:rsid w:val="29CB7CA0"/>
    <w:rsid w:val="2AB503E7"/>
    <w:rsid w:val="2AD837D6"/>
    <w:rsid w:val="2AF13003"/>
    <w:rsid w:val="2AF9540F"/>
    <w:rsid w:val="2B406E77"/>
    <w:rsid w:val="2C2A0C43"/>
    <w:rsid w:val="2D1E73A5"/>
    <w:rsid w:val="2E5339A7"/>
    <w:rsid w:val="2E813651"/>
    <w:rsid w:val="2EC948EE"/>
    <w:rsid w:val="30374F3C"/>
    <w:rsid w:val="304275FB"/>
    <w:rsid w:val="31087D5F"/>
    <w:rsid w:val="313D7782"/>
    <w:rsid w:val="32173333"/>
    <w:rsid w:val="32717154"/>
    <w:rsid w:val="32724D3F"/>
    <w:rsid w:val="3325107D"/>
    <w:rsid w:val="333C0460"/>
    <w:rsid w:val="33EA013D"/>
    <w:rsid w:val="33F34DAE"/>
    <w:rsid w:val="34500D30"/>
    <w:rsid w:val="34B63260"/>
    <w:rsid w:val="34E10DEA"/>
    <w:rsid w:val="35056E5F"/>
    <w:rsid w:val="355C3448"/>
    <w:rsid w:val="3562177D"/>
    <w:rsid w:val="35DA7D84"/>
    <w:rsid w:val="35DF5886"/>
    <w:rsid w:val="35EC6788"/>
    <w:rsid w:val="3634238D"/>
    <w:rsid w:val="363B1F0D"/>
    <w:rsid w:val="37B12A10"/>
    <w:rsid w:val="37FDA7E2"/>
    <w:rsid w:val="399A3188"/>
    <w:rsid w:val="39DC71E1"/>
    <w:rsid w:val="3A314D88"/>
    <w:rsid w:val="3A746883"/>
    <w:rsid w:val="3BCC1B2A"/>
    <w:rsid w:val="3BD26083"/>
    <w:rsid w:val="3C0B70D3"/>
    <w:rsid w:val="3C2D6C0D"/>
    <w:rsid w:val="3C446C20"/>
    <w:rsid w:val="3C7B5BFF"/>
    <w:rsid w:val="3C924687"/>
    <w:rsid w:val="3CA15DE9"/>
    <w:rsid w:val="3D001A22"/>
    <w:rsid w:val="3E651E9A"/>
    <w:rsid w:val="3F4F339A"/>
    <w:rsid w:val="3FE61EE5"/>
    <w:rsid w:val="401C6757"/>
    <w:rsid w:val="406508EE"/>
    <w:rsid w:val="408D6263"/>
    <w:rsid w:val="41494633"/>
    <w:rsid w:val="41936BC8"/>
    <w:rsid w:val="41B40CEE"/>
    <w:rsid w:val="42253370"/>
    <w:rsid w:val="42B967A1"/>
    <w:rsid w:val="43786768"/>
    <w:rsid w:val="4385713A"/>
    <w:rsid w:val="43A940F2"/>
    <w:rsid w:val="446C2AA5"/>
    <w:rsid w:val="44967BB0"/>
    <w:rsid w:val="45223DDA"/>
    <w:rsid w:val="45D0794A"/>
    <w:rsid w:val="466C62AB"/>
    <w:rsid w:val="46F87A1D"/>
    <w:rsid w:val="470E4A51"/>
    <w:rsid w:val="471C4A13"/>
    <w:rsid w:val="48317291"/>
    <w:rsid w:val="485F7024"/>
    <w:rsid w:val="48E70666"/>
    <w:rsid w:val="49392ACC"/>
    <w:rsid w:val="49D15A0C"/>
    <w:rsid w:val="4A755BA7"/>
    <w:rsid w:val="4ACA6513"/>
    <w:rsid w:val="4AE254E6"/>
    <w:rsid w:val="4B4961F0"/>
    <w:rsid w:val="4B9A45B5"/>
    <w:rsid w:val="4BFB415E"/>
    <w:rsid w:val="4C6877E5"/>
    <w:rsid w:val="4C7B07CD"/>
    <w:rsid w:val="4D6A468D"/>
    <w:rsid w:val="4DA207BD"/>
    <w:rsid w:val="4EA86137"/>
    <w:rsid w:val="50775A97"/>
    <w:rsid w:val="51293CE5"/>
    <w:rsid w:val="51FF174E"/>
    <w:rsid w:val="5260536F"/>
    <w:rsid w:val="52FE0932"/>
    <w:rsid w:val="536923C4"/>
    <w:rsid w:val="554E5595"/>
    <w:rsid w:val="556B4BA3"/>
    <w:rsid w:val="560F28C5"/>
    <w:rsid w:val="56CA7FD0"/>
    <w:rsid w:val="57FA38D1"/>
    <w:rsid w:val="57FF458B"/>
    <w:rsid w:val="5857050E"/>
    <w:rsid w:val="586A31B8"/>
    <w:rsid w:val="594436FD"/>
    <w:rsid w:val="5A8727DD"/>
    <w:rsid w:val="5B14587D"/>
    <w:rsid w:val="5B85774D"/>
    <w:rsid w:val="5C365014"/>
    <w:rsid w:val="5E1754F1"/>
    <w:rsid w:val="5E7944CF"/>
    <w:rsid w:val="5E83008D"/>
    <w:rsid w:val="5F2A3D64"/>
    <w:rsid w:val="5F703476"/>
    <w:rsid w:val="5F7D0358"/>
    <w:rsid w:val="5F7D3333"/>
    <w:rsid w:val="5FBD72B2"/>
    <w:rsid w:val="5FC10F8E"/>
    <w:rsid w:val="605860E0"/>
    <w:rsid w:val="60807CE5"/>
    <w:rsid w:val="60874F6F"/>
    <w:rsid w:val="60A2212F"/>
    <w:rsid w:val="60F479D2"/>
    <w:rsid w:val="611E26D5"/>
    <w:rsid w:val="61385890"/>
    <w:rsid w:val="61A23E4C"/>
    <w:rsid w:val="62A41854"/>
    <w:rsid w:val="62C6423B"/>
    <w:rsid w:val="644E6AE4"/>
    <w:rsid w:val="64817267"/>
    <w:rsid w:val="65300D84"/>
    <w:rsid w:val="65B849A6"/>
    <w:rsid w:val="65BA63E1"/>
    <w:rsid w:val="65EB5E4E"/>
    <w:rsid w:val="65FD176C"/>
    <w:rsid w:val="667E1592"/>
    <w:rsid w:val="671A7D20"/>
    <w:rsid w:val="67BC2FE5"/>
    <w:rsid w:val="68234F1F"/>
    <w:rsid w:val="685F6137"/>
    <w:rsid w:val="68711077"/>
    <w:rsid w:val="687436E1"/>
    <w:rsid w:val="69192315"/>
    <w:rsid w:val="69A50B1E"/>
    <w:rsid w:val="69FA2028"/>
    <w:rsid w:val="6A9E4255"/>
    <w:rsid w:val="6C5428C7"/>
    <w:rsid w:val="6DA45C50"/>
    <w:rsid w:val="6E9A7825"/>
    <w:rsid w:val="6EAD00A9"/>
    <w:rsid w:val="6EB8438E"/>
    <w:rsid w:val="6F670F9B"/>
    <w:rsid w:val="6F6E5FC2"/>
    <w:rsid w:val="70A20BB1"/>
    <w:rsid w:val="70D70721"/>
    <w:rsid w:val="712C4032"/>
    <w:rsid w:val="72917FCF"/>
    <w:rsid w:val="733817FF"/>
    <w:rsid w:val="737450E0"/>
    <w:rsid w:val="73785E10"/>
    <w:rsid w:val="73B979D9"/>
    <w:rsid w:val="74054476"/>
    <w:rsid w:val="742F38C4"/>
    <w:rsid w:val="74952A18"/>
    <w:rsid w:val="74AB66DC"/>
    <w:rsid w:val="74C4154C"/>
    <w:rsid w:val="74EC2EBB"/>
    <w:rsid w:val="75956FFF"/>
    <w:rsid w:val="76176A6B"/>
    <w:rsid w:val="77482495"/>
    <w:rsid w:val="77667BB6"/>
    <w:rsid w:val="77AA2D01"/>
    <w:rsid w:val="77DF3262"/>
    <w:rsid w:val="77F35427"/>
    <w:rsid w:val="7825043A"/>
    <w:rsid w:val="782D154D"/>
    <w:rsid w:val="784B4C61"/>
    <w:rsid w:val="79100DED"/>
    <w:rsid w:val="79834CB4"/>
    <w:rsid w:val="799E2020"/>
    <w:rsid w:val="79F36FD1"/>
    <w:rsid w:val="7A4057CC"/>
    <w:rsid w:val="7A9610E9"/>
    <w:rsid w:val="7B243926"/>
    <w:rsid w:val="7B480455"/>
    <w:rsid w:val="7B7B774B"/>
    <w:rsid w:val="7C6925F6"/>
    <w:rsid w:val="7CDE1DBD"/>
    <w:rsid w:val="7D8C3851"/>
    <w:rsid w:val="7D943A85"/>
    <w:rsid w:val="7DB0448C"/>
    <w:rsid w:val="7E143D62"/>
    <w:rsid w:val="7E5F9AA4"/>
    <w:rsid w:val="7F1750DF"/>
    <w:rsid w:val="7FE11E4D"/>
    <w:rsid w:val="7FEA007E"/>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ind w:left="420" w:leftChars="2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paragraph" w:styleId="9">
    <w:name w:val="annotation subject"/>
    <w:basedOn w:val="2"/>
    <w:next w:val="2"/>
    <w:link w:val="18"/>
    <w:qFormat/>
    <w:uiPriority w:val="0"/>
    <w:rPr>
      <w:b/>
      <w:bCs/>
    </w:rPr>
  </w:style>
  <w:style w:type="paragraph" w:styleId="10">
    <w:name w:val="Body Text First Indent 2"/>
    <w:basedOn w:val="4"/>
    <w:qFormat/>
    <w:uiPriority w:val="0"/>
    <w:pPr>
      <w:ind w:firstLine="420" w:firstLineChars="200"/>
    </w:pPr>
  </w:style>
  <w:style w:type="character" w:styleId="13">
    <w:name w:val="page number"/>
    <w:qFormat/>
    <w:uiPriority w:val="0"/>
  </w:style>
  <w:style w:type="character" w:styleId="14">
    <w:name w:val="annotation reference"/>
    <w:qFormat/>
    <w:uiPriority w:val="0"/>
    <w:rPr>
      <w:sz w:val="21"/>
      <w:szCs w:val="21"/>
    </w:rPr>
  </w:style>
  <w:style w:type="character" w:customStyle="1" w:styleId="15">
    <w:name w:val="批注文字 Char"/>
    <w:link w:val="2"/>
    <w:qFormat/>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眉 Char"/>
    <w:link w:val="7"/>
    <w:qFormat/>
    <w:uiPriority w:val="0"/>
    <w:rPr>
      <w:kern w:val="2"/>
      <w:sz w:val="18"/>
      <w:szCs w:val="18"/>
    </w:rPr>
  </w:style>
  <w:style w:type="character" w:customStyle="1" w:styleId="18">
    <w:name w:val="批注主题 Char"/>
    <w:link w:val="9"/>
    <w:qFormat/>
    <w:uiPriority w:val="0"/>
    <w:rPr>
      <w:b/>
      <w:bCs/>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lang w:val="en-US" w:eastAsia="zh-CN" w:bidi="ar-SA"/>
    </w:rPr>
  </w:style>
  <w:style w:type="paragraph" w:customStyle="1" w:styleId="21">
    <w:name w:val="正文1 Char Char Char"/>
    <w:basedOn w:val="1"/>
    <w:qFormat/>
    <w:uiPriority w:val="0"/>
    <w:pPr>
      <w:spacing w:line="360" w:lineRule="auto"/>
      <w:ind w:firstLine="20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8</TotalTime>
  <ScaleCrop>false</ScaleCrop>
  <LinksUpToDate>false</LinksUpToDate>
  <CharactersWithSpaces>2528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HUAWEI</cp:lastModifiedBy>
  <cp:lastPrinted>2023-08-03T00:58:00Z</cp:lastPrinted>
  <dcterms:modified xsi:type="dcterms:W3CDTF">2025-08-26T08:11:08Z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